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C7" w:rsidRDefault="00CC135A" w:rsidP="00CC135A">
      <w:pPr>
        <w:tabs>
          <w:tab w:val="left" w:pos="8535"/>
        </w:tabs>
      </w:pPr>
      <w:r>
        <w:tab/>
      </w:r>
      <w:r w:rsidR="006974B7">
        <w:rPr>
          <w:rFonts w:ascii="Calibri" w:hAnsi="Calibri" w:cs="Calibri"/>
          <w:noProof/>
          <w:color w:val="000080"/>
        </w:rPr>
        <w:drawing>
          <wp:inline distT="0" distB="0" distL="0" distR="0" wp14:anchorId="01741700" wp14:editId="5DA31ECF">
            <wp:extent cx="419100" cy="1038225"/>
            <wp:effectExtent l="0" t="0" r="0" b="0"/>
            <wp:docPr id="3" name="Picture 3" descr="cid:image002.jpg@01CA6D23.4FE15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A6D23.4FE15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9100" cy="1038225"/>
                    </a:xfrm>
                    <a:prstGeom prst="rect">
                      <a:avLst/>
                    </a:prstGeom>
                    <a:noFill/>
                    <a:ln>
                      <a:noFill/>
                    </a:ln>
                  </pic:spPr>
                </pic:pic>
              </a:graphicData>
            </a:graphic>
          </wp:inline>
        </w:drawing>
      </w:r>
    </w:p>
    <w:p w:rsidR="00CC135A" w:rsidRDefault="00CC135A" w:rsidP="00CC135A">
      <w:pPr>
        <w:jc w:val="center"/>
      </w:pPr>
    </w:p>
    <w:p w:rsidR="00CC135A" w:rsidRDefault="00CC135A" w:rsidP="00CC135A">
      <w:pPr>
        <w:jc w:val="center"/>
      </w:pPr>
    </w:p>
    <w:p w:rsidR="00CC135A" w:rsidRDefault="00CC135A" w:rsidP="006974B7">
      <w:pPr>
        <w:rPr>
          <w:sz w:val="36"/>
          <w:szCs w:val="36"/>
        </w:rPr>
      </w:pPr>
    </w:p>
    <w:p w:rsidR="00CC135A" w:rsidRDefault="00CC135A" w:rsidP="002C0629">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spacing w:before="240"/>
        <w:jc w:val="center"/>
        <w:rPr>
          <w:b/>
          <w:sz w:val="36"/>
          <w:szCs w:val="36"/>
        </w:rPr>
      </w:pPr>
      <w:r w:rsidRPr="00CC135A">
        <w:rPr>
          <w:b/>
          <w:sz w:val="36"/>
          <w:szCs w:val="36"/>
        </w:rPr>
        <w:t>Developing Capacities for Effective Aid Management and Coordination</w:t>
      </w:r>
    </w:p>
    <w:p w:rsidR="00CC135A" w:rsidRDefault="00CC135A" w:rsidP="00CC135A">
      <w:pPr>
        <w:rPr>
          <w:sz w:val="36"/>
          <w:szCs w:val="36"/>
        </w:rPr>
      </w:pPr>
    </w:p>
    <w:p w:rsidR="00CC135A" w:rsidRDefault="005A214A" w:rsidP="00CC135A">
      <w:pPr>
        <w:jc w:val="center"/>
        <w:rPr>
          <w:sz w:val="36"/>
          <w:szCs w:val="36"/>
        </w:rPr>
      </w:pPr>
      <w:r>
        <w:rPr>
          <w:sz w:val="36"/>
          <w:szCs w:val="36"/>
        </w:rPr>
        <w:t>2011</w:t>
      </w:r>
      <w:r w:rsidR="00CC135A">
        <w:rPr>
          <w:sz w:val="36"/>
          <w:szCs w:val="36"/>
        </w:rPr>
        <w:t xml:space="preserve"> Progress Report</w:t>
      </w:r>
    </w:p>
    <w:p w:rsidR="00CC135A" w:rsidRDefault="00CC135A" w:rsidP="00CC135A">
      <w:pPr>
        <w:rPr>
          <w:sz w:val="36"/>
          <w:szCs w:val="36"/>
        </w:rPr>
      </w:pPr>
    </w:p>
    <w:p w:rsidR="00CC135A" w:rsidRDefault="00CC135A" w:rsidP="00CC135A">
      <w:pPr>
        <w:rPr>
          <w:sz w:val="36"/>
          <w:szCs w:val="36"/>
        </w:rPr>
      </w:pPr>
    </w:p>
    <w:p w:rsidR="00CC135A" w:rsidRDefault="00CC135A" w:rsidP="00CC135A">
      <w:pPr>
        <w:rPr>
          <w:sz w:val="36"/>
          <w:szCs w:val="36"/>
        </w:rPr>
      </w:pPr>
    </w:p>
    <w:p w:rsidR="00CC135A" w:rsidRDefault="00CC135A" w:rsidP="00CC135A">
      <w:pPr>
        <w:rPr>
          <w:sz w:val="36"/>
          <w:szCs w:val="36"/>
        </w:rPr>
      </w:pPr>
    </w:p>
    <w:p w:rsidR="00CC135A" w:rsidRDefault="00CC135A" w:rsidP="00CC135A">
      <w:pPr>
        <w:rPr>
          <w:sz w:val="36"/>
          <w:szCs w:val="36"/>
        </w:rPr>
      </w:pPr>
    </w:p>
    <w:p w:rsidR="00CC135A" w:rsidRDefault="00CC135A" w:rsidP="00CC135A">
      <w:pPr>
        <w:rPr>
          <w:sz w:val="28"/>
          <w:szCs w:val="28"/>
        </w:rPr>
      </w:pPr>
    </w:p>
    <w:p w:rsidR="00CC135A" w:rsidRDefault="00CC135A" w:rsidP="00CC135A">
      <w:pPr>
        <w:rPr>
          <w:sz w:val="28"/>
          <w:szCs w:val="28"/>
        </w:rPr>
      </w:pPr>
    </w:p>
    <w:p w:rsidR="00CC135A" w:rsidRDefault="00CC135A" w:rsidP="00CC135A">
      <w:pPr>
        <w:rPr>
          <w:sz w:val="28"/>
          <w:szCs w:val="28"/>
        </w:rPr>
      </w:pPr>
    </w:p>
    <w:p w:rsidR="00CC135A" w:rsidRPr="00CC135A" w:rsidRDefault="00CC135A" w:rsidP="00CC135A">
      <w:pPr>
        <w:spacing w:after="0"/>
        <w:rPr>
          <w:sz w:val="28"/>
          <w:szCs w:val="28"/>
        </w:rPr>
      </w:pPr>
      <w:r w:rsidRPr="00CC135A">
        <w:rPr>
          <w:sz w:val="28"/>
          <w:szCs w:val="28"/>
        </w:rPr>
        <w:t>Implementing partner: Ministry of Finance</w:t>
      </w:r>
    </w:p>
    <w:p w:rsidR="00661CFA" w:rsidRDefault="00CC135A" w:rsidP="00CC135A">
      <w:pPr>
        <w:spacing w:after="0"/>
        <w:rPr>
          <w:sz w:val="28"/>
          <w:szCs w:val="28"/>
        </w:rPr>
      </w:pPr>
      <w:r w:rsidRPr="00CC135A">
        <w:rPr>
          <w:sz w:val="28"/>
          <w:szCs w:val="28"/>
        </w:rPr>
        <w:t xml:space="preserve">Funding donors: </w:t>
      </w:r>
      <w:r w:rsidR="005A214A">
        <w:rPr>
          <w:sz w:val="28"/>
          <w:szCs w:val="28"/>
        </w:rPr>
        <w:t xml:space="preserve">Denmark, </w:t>
      </w:r>
      <w:r w:rsidRPr="00CC135A">
        <w:rPr>
          <w:sz w:val="28"/>
          <w:szCs w:val="28"/>
        </w:rPr>
        <w:t>DFID</w:t>
      </w:r>
      <w:r w:rsidR="005A214A">
        <w:rPr>
          <w:sz w:val="28"/>
          <w:szCs w:val="28"/>
        </w:rPr>
        <w:t xml:space="preserve"> and UNDP</w:t>
      </w:r>
    </w:p>
    <w:p w:rsidR="00661CFA" w:rsidRPr="00661CFA" w:rsidRDefault="00661CFA" w:rsidP="00661CFA">
      <w:pPr>
        <w:spacing w:after="0"/>
        <w:rPr>
          <w:sz w:val="28"/>
          <w:szCs w:val="28"/>
        </w:rPr>
      </w:pPr>
      <w:r w:rsidRPr="00661CFA">
        <w:rPr>
          <w:sz w:val="28"/>
          <w:szCs w:val="28"/>
        </w:rPr>
        <w:br w:type="page"/>
      </w:r>
    </w:p>
    <w:p w:rsidR="00661CFA" w:rsidRPr="00323239" w:rsidRDefault="00661CFA" w:rsidP="00661CFA">
      <w:pPr>
        <w:spacing w:after="0"/>
        <w:rPr>
          <w:b/>
          <w:sz w:val="28"/>
          <w:szCs w:val="28"/>
        </w:rPr>
      </w:pPr>
      <w:r w:rsidRPr="00323239">
        <w:rPr>
          <w:b/>
          <w:sz w:val="28"/>
          <w:szCs w:val="28"/>
        </w:rPr>
        <w:lastRenderedPageBreak/>
        <w:t>Project Information</w:t>
      </w:r>
      <w:r w:rsidRPr="00323239">
        <w:rPr>
          <w:b/>
          <w:sz w:val="28"/>
          <w:szCs w:val="28"/>
        </w:rPr>
        <w:tab/>
      </w:r>
    </w:p>
    <w:p w:rsidR="00661CFA" w:rsidRPr="00661CFA" w:rsidRDefault="00661CFA" w:rsidP="00661CFA">
      <w:pPr>
        <w:spacing w:after="0"/>
        <w:rPr>
          <w:sz w:val="24"/>
          <w:szCs w:val="24"/>
        </w:rPr>
      </w:pPr>
    </w:p>
    <w:tbl>
      <w:tblPr>
        <w:tblStyle w:val="MediumShading2"/>
        <w:tblW w:w="0" w:type="auto"/>
        <w:tblBorders>
          <w:left w:val="dotted" w:sz="4" w:space="0" w:color="auto"/>
          <w:right w:val="dotted" w:sz="4" w:space="0" w:color="auto"/>
          <w:insideH w:val="dotted" w:sz="4" w:space="0" w:color="auto"/>
          <w:insideV w:val="dotted" w:sz="4" w:space="0" w:color="auto"/>
        </w:tblBorders>
        <w:tblLook w:val="0280" w:firstRow="0" w:lastRow="0" w:firstColumn="1" w:lastColumn="0" w:noHBand="1" w:noVBand="0"/>
      </w:tblPr>
      <w:tblGrid>
        <w:gridCol w:w="2808"/>
        <w:gridCol w:w="6768"/>
      </w:tblGrid>
      <w:tr w:rsidR="00661CFA" w:rsidRPr="00A028C3" w:rsidTr="002C0629">
        <w:trPr>
          <w:trHeight w:val="900"/>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left w:val="none" w:sz="0" w:space="0" w:color="auto"/>
              <w:bottom w:val="none" w:sz="0" w:space="0" w:color="auto"/>
              <w:right w:val="none" w:sz="0" w:space="0" w:color="auto"/>
            </w:tcBorders>
            <w:shd w:val="clear" w:color="auto" w:fill="C6D9F1" w:themeFill="text2" w:themeFillTint="33"/>
          </w:tcPr>
          <w:p w:rsidR="00661CFA" w:rsidRPr="00A028C3" w:rsidRDefault="00A028C3" w:rsidP="007D4328">
            <w:pPr>
              <w:rPr>
                <w:color w:val="auto"/>
                <w:sz w:val="24"/>
                <w:szCs w:val="24"/>
              </w:rPr>
            </w:pPr>
            <w:r w:rsidRPr="00A028C3">
              <w:rPr>
                <w:color w:val="auto"/>
                <w:sz w:val="24"/>
                <w:szCs w:val="24"/>
              </w:rPr>
              <w:t>Full Title:</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661CFA" w:rsidRPr="00A028C3" w:rsidRDefault="00A028C3" w:rsidP="007D4328">
            <w:pPr>
              <w:rPr>
                <w:b/>
                <w:sz w:val="36"/>
                <w:szCs w:val="36"/>
              </w:rPr>
            </w:pPr>
            <w:r w:rsidRPr="00A028C3">
              <w:rPr>
                <w:sz w:val="24"/>
                <w:szCs w:val="24"/>
              </w:rPr>
              <w:t>Developing Capacities for Effective Aid Management and Coordination</w:t>
            </w:r>
          </w:p>
        </w:tc>
      </w:tr>
      <w:tr w:rsidR="00661CFA" w:rsidRPr="00A028C3" w:rsidTr="002C0629">
        <w:trPr>
          <w:trHeight w:val="467"/>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661CFA" w:rsidRPr="00A028C3" w:rsidRDefault="00A028C3" w:rsidP="007D4328">
            <w:pPr>
              <w:rPr>
                <w:color w:val="auto"/>
                <w:sz w:val="24"/>
                <w:szCs w:val="24"/>
              </w:rPr>
            </w:pPr>
            <w:r w:rsidRPr="00A028C3">
              <w:rPr>
                <w:color w:val="auto"/>
                <w:sz w:val="24"/>
                <w:szCs w:val="24"/>
              </w:rPr>
              <w:t>Award ID:</w:t>
            </w:r>
            <w:r w:rsidRPr="00A028C3">
              <w:rPr>
                <w:rFonts w:cs="Arial"/>
                <w:bCs w:val="0"/>
                <w:color w:val="auto"/>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A028C3" w:rsidRPr="00A028C3" w:rsidRDefault="00A028C3" w:rsidP="007D4328">
            <w:pPr>
              <w:rPr>
                <w:rFonts w:cs="Arial"/>
                <w:bCs/>
                <w:sz w:val="24"/>
                <w:szCs w:val="24"/>
              </w:rPr>
            </w:pPr>
            <w:r w:rsidRPr="00A028C3">
              <w:rPr>
                <w:rFonts w:cs="Arial"/>
                <w:bCs/>
                <w:sz w:val="24"/>
                <w:szCs w:val="24"/>
              </w:rPr>
              <w:t>00056856</w:t>
            </w:r>
          </w:p>
        </w:tc>
      </w:tr>
      <w:tr w:rsidR="00661CFA" w:rsidRPr="00A028C3" w:rsidTr="002C0629">
        <w:trPr>
          <w:trHeight w:val="45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661CFA" w:rsidRPr="00A028C3" w:rsidRDefault="00A028C3" w:rsidP="007D4328">
            <w:pPr>
              <w:rPr>
                <w:color w:val="auto"/>
                <w:sz w:val="24"/>
                <w:szCs w:val="24"/>
              </w:rPr>
            </w:pPr>
            <w:r w:rsidRPr="00A028C3">
              <w:rPr>
                <w:color w:val="auto"/>
                <w:sz w:val="24"/>
                <w:szCs w:val="24"/>
              </w:rPr>
              <w:t>Project ID:</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661CFA" w:rsidRPr="00A028C3" w:rsidRDefault="00A028C3" w:rsidP="007D4328">
            <w:pPr>
              <w:rPr>
                <w:sz w:val="24"/>
                <w:szCs w:val="24"/>
              </w:rPr>
            </w:pPr>
            <w:r>
              <w:rPr>
                <w:sz w:val="24"/>
                <w:szCs w:val="24"/>
              </w:rPr>
              <w:t>00069957</w:t>
            </w:r>
          </w:p>
        </w:tc>
      </w:tr>
      <w:tr w:rsidR="00661CFA" w:rsidRPr="00A028C3" w:rsidTr="002C0629">
        <w:trPr>
          <w:trHeight w:val="1115"/>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A028C3" w:rsidRPr="00A028C3" w:rsidRDefault="00A028C3" w:rsidP="007D4328">
            <w:pPr>
              <w:rPr>
                <w:color w:val="auto"/>
                <w:sz w:val="24"/>
                <w:szCs w:val="24"/>
              </w:rPr>
            </w:pPr>
            <w:r w:rsidRPr="00A028C3">
              <w:rPr>
                <w:color w:val="auto"/>
                <w:sz w:val="24"/>
                <w:szCs w:val="24"/>
              </w:rPr>
              <w:t xml:space="preserve">Expected Output: </w:t>
            </w:r>
          </w:p>
          <w:p w:rsidR="00661CFA" w:rsidRPr="00A028C3" w:rsidRDefault="00661CFA" w:rsidP="007D4328">
            <w:pPr>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661CFA" w:rsidRPr="00A028C3" w:rsidRDefault="00A028C3" w:rsidP="007D4328">
            <w:pPr>
              <w:rPr>
                <w:sz w:val="24"/>
                <w:szCs w:val="24"/>
              </w:rPr>
            </w:pPr>
            <w:r w:rsidRPr="00661CFA">
              <w:rPr>
                <w:sz w:val="24"/>
                <w:szCs w:val="24"/>
              </w:rPr>
              <w:t>Aid management and coordination system strengthened at Ministry of F</w:t>
            </w:r>
            <w:r>
              <w:rPr>
                <w:sz w:val="24"/>
                <w:szCs w:val="24"/>
              </w:rPr>
              <w:t>inance, national planning Commission and selected line ministries</w:t>
            </w:r>
          </w:p>
        </w:tc>
      </w:tr>
      <w:tr w:rsidR="00661CFA" w:rsidRPr="00A028C3" w:rsidTr="002C0629">
        <w:trPr>
          <w:trHeight w:val="557"/>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7D4328" w:rsidRPr="007D4328" w:rsidRDefault="00A028C3" w:rsidP="007D4328">
            <w:pPr>
              <w:rPr>
                <w:color w:val="auto"/>
                <w:sz w:val="24"/>
                <w:szCs w:val="24"/>
              </w:rPr>
            </w:pPr>
            <w:r w:rsidRPr="007D4328">
              <w:rPr>
                <w:color w:val="auto"/>
                <w:sz w:val="24"/>
                <w:szCs w:val="24"/>
              </w:rPr>
              <w:t xml:space="preserve">Implementing </w:t>
            </w:r>
            <w:r w:rsidR="003C68ED">
              <w:rPr>
                <w:color w:val="auto"/>
                <w:sz w:val="24"/>
                <w:szCs w:val="24"/>
              </w:rPr>
              <w:t>Partner</w:t>
            </w:r>
            <w:r w:rsidRPr="007D4328">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661CFA" w:rsidRPr="00A028C3" w:rsidRDefault="00A028C3" w:rsidP="007D4328">
            <w:pPr>
              <w:rPr>
                <w:sz w:val="24"/>
                <w:szCs w:val="24"/>
              </w:rPr>
            </w:pPr>
            <w:r>
              <w:rPr>
                <w:sz w:val="24"/>
                <w:szCs w:val="24"/>
              </w:rPr>
              <w:t>Ministry of Finance</w:t>
            </w:r>
            <w:r w:rsidR="00574C9C">
              <w:rPr>
                <w:sz w:val="24"/>
                <w:szCs w:val="24"/>
              </w:rPr>
              <w:t xml:space="preserve"> (MoF)</w:t>
            </w:r>
          </w:p>
        </w:tc>
      </w:tr>
      <w:tr w:rsidR="007D4328" w:rsidRPr="00A028C3" w:rsidTr="002C0629">
        <w:trPr>
          <w:trHeight w:val="73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7D4328" w:rsidRPr="007D4328" w:rsidRDefault="00296B74" w:rsidP="003C68ED">
            <w:pPr>
              <w:rPr>
                <w:color w:val="auto"/>
                <w:sz w:val="24"/>
                <w:szCs w:val="24"/>
              </w:rPr>
            </w:pPr>
            <w:r>
              <w:rPr>
                <w:color w:val="auto"/>
                <w:sz w:val="24"/>
                <w:szCs w:val="24"/>
              </w:rPr>
              <w:t>Other Partners</w:t>
            </w:r>
            <w:r w:rsidR="007D4328" w:rsidRPr="007D4328">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7D4328" w:rsidRDefault="007D4328" w:rsidP="000E032B">
            <w:pPr>
              <w:rPr>
                <w:sz w:val="24"/>
                <w:szCs w:val="24"/>
              </w:rPr>
            </w:pPr>
            <w:r>
              <w:rPr>
                <w:sz w:val="24"/>
                <w:szCs w:val="24"/>
              </w:rPr>
              <w:t>National Planning Commission</w:t>
            </w:r>
            <w:r w:rsidR="00574C9C">
              <w:rPr>
                <w:sz w:val="24"/>
                <w:szCs w:val="24"/>
              </w:rPr>
              <w:t xml:space="preserve"> (NPC)</w:t>
            </w:r>
            <w:r>
              <w:rPr>
                <w:sz w:val="24"/>
                <w:szCs w:val="24"/>
              </w:rPr>
              <w:t xml:space="preserve">, Ministry of Education, Ministry of Health and </w:t>
            </w:r>
            <w:r w:rsidR="000E032B">
              <w:rPr>
                <w:sz w:val="24"/>
                <w:szCs w:val="24"/>
              </w:rPr>
              <w:t>Population</w:t>
            </w:r>
            <w:r>
              <w:rPr>
                <w:sz w:val="24"/>
                <w:szCs w:val="24"/>
              </w:rPr>
              <w:t>, Ministry of Local Development</w:t>
            </w:r>
          </w:p>
        </w:tc>
      </w:tr>
      <w:tr w:rsidR="00661CFA" w:rsidRPr="00A028C3" w:rsidTr="002C0629">
        <w:trPr>
          <w:trHeight w:val="738"/>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661CFA" w:rsidRPr="007D4328" w:rsidRDefault="00A028C3" w:rsidP="007D4328">
            <w:pPr>
              <w:rPr>
                <w:color w:val="auto"/>
                <w:sz w:val="24"/>
                <w:szCs w:val="24"/>
              </w:rPr>
            </w:pPr>
            <w:r w:rsidRPr="007D4328">
              <w:rPr>
                <w:color w:val="auto"/>
                <w:sz w:val="24"/>
                <w:szCs w:val="24"/>
              </w:rPr>
              <w:t>Project Duration:</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661CFA" w:rsidRPr="00A028C3" w:rsidRDefault="00A028C3" w:rsidP="007D4328">
            <w:pPr>
              <w:rPr>
                <w:sz w:val="24"/>
                <w:szCs w:val="24"/>
              </w:rPr>
            </w:pPr>
            <w:r>
              <w:rPr>
                <w:sz w:val="24"/>
                <w:szCs w:val="24"/>
              </w:rPr>
              <w:t xml:space="preserve">31 January 2009 </w:t>
            </w:r>
            <w:r w:rsidRPr="00661CFA">
              <w:rPr>
                <w:sz w:val="24"/>
                <w:szCs w:val="24"/>
              </w:rPr>
              <w:t>till 31 December 201</w:t>
            </w:r>
            <w:r>
              <w:rPr>
                <w:sz w:val="24"/>
                <w:szCs w:val="24"/>
              </w:rPr>
              <w:t>1 (initial), extended till 31 December 2012</w:t>
            </w:r>
          </w:p>
        </w:tc>
      </w:tr>
      <w:tr w:rsidR="00A028C3" w:rsidRPr="00A028C3" w:rsidTr="002C0629">
        <w:trPr>
          <w:trHeight w:val="485"/>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7D4328" w:rsidRPr="007D4328" w:rsidRDefault="00A028C3" w:rsidP="007D4328">
            <w:pPr>
              <w:rPr>
                <w:color w:val="auto"/>
                <w:sz w:val="24"/>
                <w:szCs w:val="24"/>
              </w:rPr>
            </w:pPr>
            <w:r w:rsidRPr="007D4328">
              <w:rPr>
                <w:color w:val="auto"/>
                <w:sz w:val="24"/>
                <w:szCs w:val="24"/>
              </w:rPr>
              <w:t>Total Budget:</w:t>
            </w:r>
            <w:r w:rsidRPr="007D4328">
              <w:rPr>
                <w:color w:val="auto"/>
                <w:sz w:val="24"/>
                <w:szCs w:val="24"/>
              </w:rPr>
              <w:tab/>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bottom w:val="none" w:sz="0" w:space="0" w:color="auto"/>
              <w:right w:val="none" w:sz="0" w:space="0" w:color="auto"/>
            </w:tcBorders>
            <w:shd w:val="clear" w:color="auto" w:fill="FFFFFF" w:themeFill="background1"/>
            <w:vAlign w:val="center"/>
          </w:tcPr>
          <w:p w:rsidR="00A028C3" w:rsidRPr="00F13624" w:rsidRDefault="00A028C3" w:rsidP="00F13624">
            <w:pPr>
              <w:rPr>
                <w:sz w:val="24"/>
                <w:szCs w:val="24"/>
              </w:rPr>
            </w:pPr>
            <w:r w:rsidRPr="00F13624">
              <w:rPr>
                <w:bCs/>
                <w:sz w:val="24"/>
                <w:szCs w:val="24"/>
              </w:rPr>
              <w:t>USD 1,</w:t>
            </w:r>
            <w:r w:rsidR="00F13624" w:rsidRPr="00F13624">
              <w:rPr>
                <w:bCs/>
                <w:sz w:val="24"/>
                <w:szCs w:val="24"/>
              </w:rPr>
              <w:t>585,418</w:t>
            </w:r>
          </w:p>
        </w:tc>
      </w:tr>
      <w:tr w:rsidR="00A028C3" w:rsidRPr="00A028C3" w:rsidTr="00BD7D41">
        <w:trPr>
          <w:trHeight w:val="1340"/>
        </w:trPr>
        <w:tc>
          <w:tcPr>
            <w:cnfStyle w:val="001000000000" w:firstRow="0" w:lastRow="0" w:firstColumn="1" w:lastColumn="0" w:oddVBand="0" w:evenVBand="0" w:oddHBand="0" w:evenHBand="0" w:firstRowFirstColumn="0" w:firstRowLastColumn="0" w:lastRowFirstColumn="0" w:lastRowLastColumn="0"/>
            <w:tcW w:w="2808" w:type="dxa"/>
            <w:tcBorders>
              <w:left w:val="none" w:sz="0" w:space="0" w:color="auto"/>
              <w:bottom w:val="none" w:sz="0" w:space="0" w:color="auto"/>
              <w:right w:val="none" w:sz="0" w:space="0" w:color="auto"/>
            </w:tcBorders>
            <w:shd w:val="clear" w:color="auto" w:fill="C6D9F1" w:themeFill="text2" w:themeFillTint="33"/>
          </w:tcPr>
          <w:p w:rsidR="00A028C3" w:rsidRDefault="00A028C3" w:rsidP="007D4328">
            <w:pPr>
              <w:rPr>
                <w:color w:val="auto"/>
                <w:sz w:val="24"/>
                <w:szCs w:val="24"/>
              </w:rPr>
            </w:pPr>
            <w:r w:rsidRPr="007D4328">
              <w:rPr>
                <w:color w:val="auto"/>
                <w:sz w:val="24"/>
                <w:szCs w:val="24"/>
              </w:rPr>
              <w:t>Allocated Resources:</w:t>
            </w:r>
            <w:r w:rsidRPr="007D4328">
              <w:rPr>
                <w:color w:val="auto"/>
                <w:sz w:val="24"/>
                <w:szCs w:val="24"/>
              </w:rPr>
              <w:tab/>
            </w:r>
          </w:p>
          <w:p w:rsidR="005A214A" w:rsidRPr="005A214A" w:rsidRDefault="005A214A" w:rsidP="007D4328">
            <w:pPr>
              <w:rPr>
                <w:i/>
                <w:color w:val="auto"/>
                <w:sz w:val="24"/>
                <w:szCs w:val="24"/>
              </w:rPr>
            </w:pPr>
            <w:r w:rsidRPr="005A214A">
              <w:rPr>
                <w:i/>
                <w:color w:val="auto"/>
                <w:sz w:val="24"/>
                <w:szCs w:val="24"/>
              </w:rPr>
              <w:t>(as of 15 January 2012)</w:t>
            </w:r>
          </w:p>
        </w:tc>
        <w:tc>
          <w:tcPr>
            <w:cnfStyle w:val="000010000000" w:firstRow="0" w:lastRow="0" w:firstColumn="0" w:lastColumn="0" w:oddVBand="1" w:evenVBand="0" w:oddHBand="0" w:evenHBand="0" w:firstRowFirstColumn="0" w:firstRowLastColumn="0" w:lastRowFirstColumn="0" w:lastRowLastColumn="0"/>
            <w:tcW w:w="6768" w:type="dxa"/>
            <w:tcBorders>
              <w:left w:val="none" w:sz="0" w:space="0" w:color="auto"/>
              <w:right w:val="none" w:sz="0" w:space="0" w:color="auto"/>
            </w:tcBorders>
            <w:shd w:val="clear" w:color="auto" w:fill="FFFFFF" w:themeFill="background1"/>
            <w:vAlign w:val="center"/>
          </w:tcPr>
          <w:p w:rsidR="00A028C3" w:rsidRPr="00F13624" w:rsidRDefault="00A028C3" w:rsidP="007D4328">
            <w:pPr>
              <w:tabs>
                <w:tab w:val="left" w:pos="1242"/>
              </w:tabs>
              <w:rPr>
                <w:sz w:val="24"/>
                <w:szCs w:val="24"/>
              </w:rPr>
            </w:pPr>
            <w:r w:rsidRPr="00F13624">
              <w:rPr>
                <w:sz w:val="24"/>
                <w:szCs w:val="24"/>
              </w:rPr>
              <w:t>UNDP</w:t>
            </w:r>
            <w:r w:rsidR="007D4328" w:rsidRPr="00F13624">
              <w:rPr>
                <w:sz w:val="24"/>
                <w:szCs w:val="24"/>
              </w:rPr>
              <w:t xml:space="preserve">:           USD </w:t>
            </w:r>
            <w:r w:rsidR="00F13624" w:rsidRPr="00F13624">
              <w:rPr>
                <w:sz w:val="24"/>
                <w:szCs w:val="24"/>
              </w:rPr>
              <w:t>830,058</w:t>
            </w:r>
          </w:p>
          <w:p w:rsidR="00A028C3" w:rsidRPr="00F13624" w:rsidRDefault="00A028C3" w:rsidP="007D4328">
            <w:pPr>
              <w:rPr>
                <w:sz w:val="24"/>
                <w:szCs w:val="24"/>
              </w:rPr>
            </w:pPr>
            <w:r w:rsidRPr="00F13624">
              <w:rPr>
                <w:sz w:val="24"/>
                <w:szCs w:val="24"/>
              </w:rPr>
              <w:t>DFID</w:t>
            </w:r>
            <w:r w:rsidR="007D4328" w:rsidRPr="00F13624">
              <w:rPr>
                <w:sz w:val="24"/>
                <w:szCs w:val="24"/>
              </w:rPr>
              <w:t>:             USD 240,000</w:t>
            </w:r>
          </w:p>
          <w:p w:rsidR="00A028C3" w:rsidRPr="00F13624" w:rsidRDefault="00A028C3" w:rsidP="007D4328">
            <w:pPr>
              <w:rPr>
                <w:sz w:val="24"/>
                <w:szCs w:val="24"/>
              </w:rPr>
            </w:pPr>
            <w:r w:rsidRPr="00F13624">
              <w:rPr>
                <w:sz w:val="24"/>
                <w:szCs w:val="24"/>
              </w:rPr>
              <w:t xml:space="preserve">Denmark: </w:t>
            </w:r>
            <w:r w:rsidR="007D4328" w:rsidRPr="00F13624">
              <w:rPr>
                <w:sz w:val="24"/>
                <w:szCs w:val="24"/>
              </w:rPr>
              <w:t xml:space="preserve">    USD 158,360 </w:t>
            </w:r>
          </w:p>
          <w:p w:rsidR="00184687" w:rsidRPr="00F13624" w:rsidRDefault="00184687" w:rsidP="00F13624">
            <w:pPr>
              <w:rPr>
                <w:b/>
                <w:i/>
                <w:sz w:val="24"/>
                <w:szCs w:val="24"/>
              </w:rPr>
            </w:pPr>
            <w:r w:rsidRPr="00F13624">
              <w:rPr>
                <w:b/>
                <w:i/>
                <w:sz w:val="24"/>
                <w:szCs w:val="24"/>
              </w:rPr>
              <w:t xml:space="preserve">Unfunded: </w:t>
            </w:r>
            <w:r w:rsidR="00C4052A" w:rsidRPr="00F13624">
              <w:rPr>
                <w:b/>
                <w:i/>
                <w:sz w:val="24"/>
                <w:szCs w:val="24"/>
              </w:rPr>
              <w:t xml:space="preserve">  </w:t>
            </w:r>
            <w:r w:rsidRPr="00F13624">
              <w:rPr>
                <w:b/>
                <w:i/>
                <w:sz w:val="24"/>
                <w:szCs w:val="24"/>
              </w:rPr>
              <w:t>USD</w:t>
            </w:r>
            <w:r w:rsidR="00C4052A" w:rsidRPr="00F13624">
              <w:rPr>
                <w:b/>
                <w:i/>
                <w:sz w:val="24"/>
                <w:szCs w:val="24"/>
              </w:rPr>
              <w:t xml:space="preserve"> </w:t>
            </w:r>
            <w:r w:rsidR="00F13624" w:rsidRPr="00F13624">
              <w:rPr>
                <w:b/>
                <w:i/>
                <w:sz w:val="24"/>
                <w:szCs w:val="24"/>
              </w:rPr>
              <w:t>357,000</w:t>
            </w:r>
            <w:r w:rsidR="00BD7D41" w:rsidRPr="00F13624">
              <w:rPr>
                <w:b/>
                <w:i/>
                <w:sz w:val="24"/>
                <w:szCs w:val="24"/>
              </w:rPr>
              <w:t xml:space="preserve"> </w:t>
            </w:r>
          </w:p>
        </w:tc>
      </w:tr>
    </w:tbl>
    <w:p w:rsidR="00661CFA" w:rsidRDefault="00661CFA" w:rsidP="00661CFA">
      <w:pPr>
        <w:rPr>
          <w:sz w:val="24"/>
          <w:szCs w:val="24"/>
        </w:rPr>
      </w:pPr>
    </w:p>
    <w:p w:rsidR="00661CFA" w:rsidRDefault="00661CFA" w:rsidP="00661CFA">
      <w:pPr>
        <w:spacing w:before="240"/>
        <w:rPr>
          <w:sz w:val="24"/>
          <w:szCs w:val="24"/>
        </w:rPr>
      </w:pPr>
    </w:p>
    <w:p w:rsidR="00661CFA" w:rsidRDefault="00661CFA" w:rsidP="00661CFA">
      <w:pPr>
        <w:spacing w:before="240"/>
        <w:rPr>
          <w:sz w:val="24"/>
          <w:szCs w:val="24"/>
        </w:rPr>
      </w:pPr>
    </w:p>
    <w:p w:rsidR="00661CFA" w:rsidRDefault="00661CFA" w:rsidP="00661CFA">
      <w:pPr>
        <w:spacing w:before="240"/>
        <w:rPr>
          <w:sz w:val="24"/>
          <w:szCs w:val="24"/>
        </w:rPr>
      </w:pPr>
    </w:p>
    <w:p w:rsidR="00661CFA" w:rsidRDefault="00661CFA" w:rsidP="00661CFA">
      <w:pPr>
        <w:spacing w:after="0"/>
        <w:rPr>
          <w:sz w:val="24"/>
          <w:szCs w:val="24"/>
        </w:rPr>
      </w:pPr>
      <w:r w:rsidRPr="00661CFA">
        <w:rPr>
          <w:sz w:val="24"/>
          <w:szCs w:val="24"/>
        </w:rPr>
        <w:tab/>
      </w:r>
    </w:p>
    <w:p w:rsidR="00661CFA" w:rsidRDefault="00661CFA" w:rsidP="00661CFA">
      <w:pPr>
        <w:spacing w:before="240" w:after="0"/>
        <w:rPr>
          <w:sz w:val="24"/>
          <w:szCs w:val="24"/>
        </w:rPr>
      </w:pPr>
      <w:r w:rsidRPr="00661CFA">
        <w:rPr>
          <w:sz w:val="24"/>
          <w:szCs w:val="24"/>
        </w:rPr>
        <w:tab/>
      </w:r>
      <w:r w:rsidRPr="00661CFA">
        <w:rPr>
          <w:sz w:val="24"/>
          <w:szCs w:val="24"/>
        </w:rPr>
        <w:tab/>
      </w:r>
    </w:p>
    <w:p w:rsidR="00661CFA" w:rsidRPr="00661CFA" w:rsidRDefault="00661CFA" w:rsidP="00661CFA">
      <w:pPr>
        <w:spacing w:after="0"/>
        <w:rPr>
          <w:sz w:val="24"/>
          <w:szCs w:val="24"/>
        </w:rPr>
      </w:pPr>
      <w:r w:rsidRPr="00661CFA">
        <w:rPr>
          <w:sz w:val="24"/>
          <w:szCs w:val="24"/>
        </w:rPr>
        <w:tab/>
      </w:r>
      <w:r w:rsidRPr="00661CFA">
        <w:rPr>
          <w:sz w:val="24"/>
          <w:szCs w:val="24"/>
        </w:rPr>
        <w:tab/>
      </w:r>
    </w:p>
    <w:p w:rsidR="00661CFA" w:rsidRPr="00661CFA" w:rsidRDefault="00661CFA" w:rsidP="00661CFA">
      <w:pPr>
        <w:spacing w:after="0"/>
        <w:rPr>
          <w:sz w:val="24"/>
          <w:szCs w:val="24"/>
        </w:rPr>
      </w:pPr>
    </w:p>
    <w:p w:rsidR="00661CFA" w:rsidRPr="00661CFA" w:rsidRDefault="00661CFA" w:rsidP="00661CFA">
      <w:pPr>
        <w:spacing w:after="0"/>
        <w:rPr>
          <w:sz w:val="24"/>
          <w:szCs w:val="24"/>
        </w:rPr>
      </w:pPr>
    </w:p>
    <w:p w:rsidR="00661CFA" w:rsidRPr="00661CFA" w:rsidRDefault="00661CFA" w:rsidP="00661CFA">
      <w:pPr>
        <w:spacing w:after="0"/>
        <w:rPr>
          <w:b/>
          <w:sz w:val="24"/>
          <w:szCs w:val="24"/>
        </w:rPr>
      </w:pPr>
      <w:r w:rsidRPr="00661CFA">
        <w:rPr>
          <w:sz w:val="24"/>
          <w:szCs w:val="24"/>
        </w:rPr>
        <w:t>:</w:t>
      </w:r>
      <w:r w:rsidRPr="00661CFA">
        <w:rPr>
          <w:b/>
          <w:sz w:val="24"/>
          <w:szCs w:val="24"/>
        </w:rPr>
        <w:tab/>
      </w:r>
    </w:p>
    <w:p w:rsidR="00661CFA" w:rsidRPr="00661CFA" w:rsidRDefault="00661CFA" w:rsidP="00661CFA">
      <w:pPr>
        <w:spacing w:after="0"/>
        <w:rPr>
          <w:sz w:val="24"/>
          <w:szCs w:val="24"/>
        </w:rPr>
      </w:pPr>
    </w:p>
    <w:p w:rsidR="00661CFA" w:rsidRPr="00661CFA" w:rsidRDefault="00661CFA" w:rsidP="00661CFA">
      <w:pPr>
        <w:spacing w:after="0"/>
        <w:rPr>
          <w:sz w:val="24"/>
          <w:szCs w:val="24"/>
        </w:rPr>
      </w:pPr>
      <w:r w:rsidRPr="00661CFA">
        <w:rPr>
          <w:sz w:val="24"/>
          <w:szCs w:val="24"/>
        </w:rPr>
        <w:tab/>
      </w:r>
      <w:r w:rsidRPr="00661CFA">
        <w:rPr>
          <w:sz w:val="24"/>
          <w:szCs w:val="24"/>
        </w:rPr>
        <w:tab/>
      </w:r>
    </w:p>
    <w:p w:rsidR="00661CFA" w:rsidRPr="00661CFA" w:rsidRDefault="00661CFA" w:rsidP="00661CFA">
      <w:pPr>
        <w:spacing w:after="0"/>
        <w:rPr>
          <w:sz w:val="24"/>
          <w:szCs w:val="24"/>
        </w:rPr>
      </w:pPr>
      <w:r w:rsidRPr="00661CFA">
        <w:rPr>
          <w:sz w:val="24"/>
          <w:szCs w:val="24"/>
        </w:rPr>
        <w:lastRenderedPageBreak/>
        <w:tab/>
      </w:r>
    </w:p>
    <w:p w:rsidR="00CC135A" w:rsidRDefault="00746B58" w:rsidP="00661CFA">
      <w:pPr>
        <w:spacing w:after="0"/>
        <w:rPr>
          <w:b/>
          <w:sz w:val="28"/>
          <w:szCs w:val="28"/>
        </w:rPr>
      </w:pPr>
      <w:r w:rsidRPr="00746B58">
        <w:rPr>
          <w:b/>
          <w:sz w:val="28"/>
          <w:szCs w:val="28"/>
        </w:rPr>
        <w:t>Executive summary</w:t>
      </w:r>
    </w:p>
    <w:p w:rsidR="00D613B0" w:rsidRDefault="00D613B0" w:rsidP="00661CFA">
      <w:pPr>
        <w:spacing w:after="0"/>
        <w:rPr>
          <w:sz w:val="24"/>
          <w:szCs w:val="24"/>
        </w:rPr>
      </w:pPr>
    </w:p>
    <w:p w:rsidR="00EB44C3" w:rsidRDefault="00961788" w:rsidP="00EB44C3">
      <w:pPr>
        <w:jc w:val="both"/>
        <w:rPr>
          <w:sz w:val="24"/>
          <w:szCs w:val="24"/>
        </w:rPr>
      </w:pPr>
      <w:r>
        <w:rPr>
          <w:sz w:val="24"/>
          <w:szCs w:val="24"/>
        </w:rPr>
        <w:t>2011 has s</w:t>
      </w:r>
      <w:r w:rsidR="00EB44C3" w:rsidRPr="00EB44C3">
        <w:rPr>
          <w:sz w:val="24"/>
          <w:szCs w:val="24"/>
        </w:rPr>
        <w:t xml:space="preserve">een </w:t>
      </w:r>
      <w:r>
        <w:rPr>
          <w:sz w:val="24"/>
          <w:szCs w:val="24"/>
        </w:rPr>
        <w:t xml:space="preserve">significant progress in all three areas of intervention for the project. </w:t>
      </w:r>
    </w:p>
    <w:p w:rsidR="00961788" w:rsidRDefault="005427A3" w:rsidP="00EB44C3">
      <w:pPr>
        <w:jc w:val="both"/>
        <w:rPr>
          <w:sz w:val="24"/>
          <w:szCs w:val="24"/>
        </w:rPr>
      </w:pPr>
      <w:r>
        <w:rPr>
          <w:sz w:val="24"/>
          <w:szCs w:val="24"/>
        </w:rPr>
        <w:t xml:space="preserve">The </w:t>
      </w:r>
      <w:r w:rsidR="00961788">
        <w:rPr>
          <w:sz w:val="24"/>
          <w:szCs w:val="24"/>
        </w:rPr>
        <w:t>launch</w:t>
      </w:r>
      <w:r>
        <w:rPr>
          <w:sz w:val="24"/>
          <w:szCs w:val="24"/>
        </w:rPr>
        <w:t xml:space="preserve"> of the Aid Management Platform (AMP) </w:t>
      </w:r>
      <w:r w:rsidR="00961788">
        <w:rPr>
          <w:sz w:val="24"/>
          <w:szCs w:val="24"/>
        </w:rPr>
        <w:t>with all resident donors was a major milestone for the project and a key contribution towards better aid transparency in Nepal</w:t>
      </w:r>
      <w:r>
        <w:rPr>
          <w:sz w:val="24"/>
          <w:szCs w:val="24"/>
        </w:rPr>
        <w:t xml:space="preserve">. </w:t>
      </w:r>
      <w:r w:rsidR="00961788">
        <w:rPr>
          <w:sz w:val="24"/>
          <w:szCs w:val="24"/>
        </w:rPr>
        <w:t xml:space="preserve">Following the work done in 2010 to get Government data on aid into the database, the project supported the launch of the Aid Management Platform with all 34 resident donor agencies, through individual trainings and technical support in the first half of 2011. As a result, the volume and quality of aid information available to the Government of Nepal and donors has significantly improved, in particular for off-budget projects, which were not systematically recorded before the implementation AMP. As of end 2011, the database includes </w:t>
      </w:r>
      <w:r w:rsidR="0084042F">
        <w:rPr>
          <w:sz w:val="24"/>
          <w:szCs w:val="24"/>
        </w:rPr>
        <w:t>almost 5</w:t>
      </w:r>
      <w:r w:rsidR="00961788">
        <w:rPr>
          <w:sz w:val="24"/>
          <w:szCs w:val="24"/>
        </w:rPr>
        <w:t xml:space="preserve">00 </w:t>
      </w:r>
      <w:r w:rsidR="0084042F">
        <w:rPr>
          <w:sz w:val="24"/>
          <w:szCs w:val="24"/>
        </w:rPr>
        <w:t>ongoing projects, valued at over USD 5.5 billion, compared to 175 projects (on-budget only) at the end of 2010.</w:t>
      </w:r>
    </w:p>
    <w:p w:rsidR="0084042F" w:rsidRDefault="0084042F" w:rsidP="00EB44C3">
      <w:pPr>
        <w:jc w:val="both"/>
        <w:rPr>
          <w:sz w:val="24"/>
          <w:szCs w:val="24"/>
        </w:rPr>
      </w:pPr>
      <w:r>
        <w:rPr>
          <w:sz w:val="24"/>
          <w:szCs w:val="24"/>
        </w:rPr>
        <w:t>The project provided financial and technical support for the preparation of Nepal’s contribution to the 4</w:t>
      </w:r>
      <w:r w:rsidRPr="0084042F">
        <w:rPr>
          <w:sz w:val="24"/>
          <w:szCs w:val="24"/>
          <w:vertAlign w:val="superscript"/>
        </w:rPr>
        <w:t>th</w:t>
      </w:r>
      <w:r>
        <w:rPr>
          <w:sz w:val="24"/>
          <w:szCs w:val="24"/>
        </w:rPr>
        <w:t xml:space="preserve"> High Level Forum on Aid Effectiveness, including the conduct of the 2011 Paris Declaration Survey and the preparations for two interventions from the Nepalese delegation, respectively on aid transparency and risk-management approaches to development cooperation. </w:t>
      </w:r>
    </w:p>
    <w:p w:rsidR="003053C9" w:rsidRDefault="0084042F" w:rsidP="00EB44C3">
      <w:pPr>
        <w:jc w:val="both"/>
        <w:rPr>
          <w:sz w:val="24"/>
          <w:szCs w:val="24"/>
        </w:rPr>
      </w:pPr>
      <w:r>
        <w:rPr>
          <w:sz w:val="24"/>
          <w:szCs w:val="24"/>
        </w:rPr>
        <w:t xml:space="preserve">The project also assisted MOF/FACD to </w:t>
      </w:r>
      <w:r w:rsidR="003053C9">
        <w:rPr>
          <w:sz w:val="24"/>
          <w:szCs w:val="24"/>
        </w:rPr>
        <w:t>launch an initiative on mutual accountability in Nepal, as part of the Nepal Portfolio Performance Review (NPPR) process. The 2011-12 NPPR work plan includes for the first time clear commitments from concerned development partners in the areas of aid transparency, aid predictability, use of national systems and phasing out of parallel implementation units, with reciprocal commitments from the Government side.</w:t>
      </w:r>
    </w:p>
    <w:p w:rsidR="00EB44C3" w:rsidRDefault="003053C9" w:rsidP="00EB44C3">
      <w:pPr>
        <w:jc w:val="both"/>
        <w:rPr>
          <w:sz w:val="24"/>
          <w:szCs w:val="24"/>
        </w:rPr>
      </w:pPr>
      <w:r>
        <w:rPr>
          <w:sz w:val="24"/>
          <w:szCs w:val="24"/>
        </w:rPr>
        <w:t xml:space="preserve">Work on the finalization of the new Foreign Aid Policy was delayed for a significant portion of the year, due to changes in Government and the resulting transfers of senior staff. However, work in this area has picked up pace in the last two months of the year, with a firm commitment from Ministry of Finance to conduct the consultation process and develop a final draft within the first half of 2012. The project has helped produce an updated draft which has been submitted to all concerned ministries for comments. A detailed calendar for the consultation process has also been </w:t>
      </w:r>
      <w:r w:rsidR="00AE77B1">
        <w:rPr>
          <w:sz w:val="24"/>
          <w:szCs w:val="24"/>
        </w:rPr>
        <w:t>developed by the Minist</w:t>
      </w:r>
      <w:r>
        <w:rPr>
          <w:sz w:val="24"/>
          <w:szCs w:val="24"/>
        </w:rPr>
        <w:t>r</w:t>
      </w:r>
      <w:r w:rsidR="00AE77B1">
        <w:rPr>
          <w:sz w:val="24"/>
          <w:szCs w:val="24"/>
        </w:rPr>
        <w:t>y</w:t>
      </w:r>
      <w:r>
        <w:rPr>
          <w:sz w:val="24"/>
          <w:szCs w:val="24"/>
        </w:rPr>
        <w:t xml:space="preserve"> of Finance.</w:t>
      </w:r>
    </w:p>
    <w:p w:rsidR="00AE77B1" w:rsidRDefault="00AE77B1" w:rsidP="00EB44C3">
      <w:pPr>
        <w:jc w:val="both"/>
        <w:rPr>
          <w:sz w:val="24"/>
          <w:szCs w:val="24"/>
        </w:rPr>
      </w:pPr>
      <w:r>
        <w:rPr>
          <w:sz w:val="24"/>
          <w:szCs w:val="24"/>
        </w:rPr>
        <w:t>On the basis of</w:t>
      </w:r>
      <w:r w:rsidR="005A0BBA">
        <w:rPr>
          <w:sz w:val="24"/>
          <w:szCs w:val="24"/>
        </w:rPr>
        <w:t xml:space="preserve"> the capacity assessment report </w:t>
      </w:r>
      <w:r>
        <w:rPr>
          <w:sz w:val="24"/>
          <w:szCs w:val="24"/>
        </w:rPr>
        <w:t xml:space="preserve">finalized in 2010, a capacity development plan was developed for the four concerned ministries (Finance, Local Development, Health and education) and the National Planning Commission. Long Term Agreements were put in place with three local training institutes, and trainings were delivered for example on negotiation </w:t>
      </w:r>
      <w:r>
        <w:rPr>
          <w:sz w:val="24"/>
          <w:szCs w:val="24"/>
        </w:rPr>
        <w:lastRenderedPageBreak/>
        <w:t xml:space="preserve">skills, Sector-Wide Approaches, or the assessment of projects from an aid effectiveness perspective. Where relevant, exchange of knowledge between the more advanced ministries and </w:t>
      </w:r>
      <w:r w:rsidR="00733ADB">
        <w:rPr>
          <w:sz w:val="24"/>
          <w:szCs w:val="24"/>
        </w:rPr>
        <w:t>others</w:t>
      </w:r>
      <w:r>
        <w:rPr>
          <w:sz w:val="24"/>
          <w:szCs w:val="24"/>
        </w:rPr>
        <w:t xml:space="preserve"> was also promoted, with an emphasis on ministries </w:t>
      </w:r>
      <w:r w:rsidR="00733ADB">
        <w:rPr>
          <w:sz w:val="24"/>
          <w:szCs w:val="24"/>
        </w:rPr>
        <w:t>expected to receive significant amounts of climate change finance in the near future (Environment, Agriculture, Forestry, Irrigation, Physical Planning).</w:t>
      </w:r>
    </w:p>
    <w:p w:rsidR="00733ADB" w:rsidRDefault="005A0BBA" w:rsidP="00EB44C3">
      <w:pPr>
        <w:jc w:val="both"/>
        <w:rPr>
          <w:sz w:val="24"/>
          <w:szCs w:val="24"/>
        </w:rPr>
      </w:pPr>
      <w:r>
        <w:rPr>
          <w:sz w:val="24"/>
          <w:szCs w:val="24"/>
        </w:rPr>
        <w:t xml:space="preserve">Overall, </w:t>
      </w:r>
      <w:r w:rsidR="00733ADB">
        <w:rPr>
          <w:sz w:val="24"/>
          <w:szCs w:val="24"/>
        </w:rPr>
        <w:t>major objectives for the year have been reached and the project has also met its financial delivery target (above 95%). Ministry of Finance has taken a strong lead in implementing the Aid Management Platform, introducing a mutual accountability component in the dialogue with donors, and renewed GoN commitment to the revision of the Foreign Aid Policy provides an excellent opportunity to integrate the recommendations of the Busan High Level Forum in the policy framework at country level.</w:t>
      </w:r>
    </w:p>
    <w:p w:rsidR="00733ADB" w:rsidRDefault="00733ADB" w:rsidP="00EB44C3">
      <w:pPr>
        <w:jc w:val="both"/>
        <w:rPr>
          <w:sz w:val="24"/>
          <w:szCs w:val="24"/>
        </w:rPr>
      </w:pPr>
      <w:r>
        <w:rPr>
          <w:sz w:val="24"/>
          <w:szCs w:val="24"/>
        </w:rPr>
        <w:t>The project will continue to support this process in 2012, including the Foreign Aid Policy document itself, but also any related changes to the Government-donor coordination mechanisms, and the monitoring of the mutual accountability targets included in NPPR.</w:t>
      </w:r>
    </w:p>
    <w:p w:rsidR="00EA30D1" w:rsidRDefault="00733ADB" w:rsidP="00EB44C3">
      <w:pPr>
        <w:jc w:val="both"/>
        <w:rPr>
          <w:sz w:val="24"/>
          <w:szCs w:val="24"/>
        </w:rPr>
      </w:pPr>
      <w:r>
        <w:rPr>
          <w:sz w:val="24"/>
          <w:szCs w:val="24"/>
        </w:rPr>
        <w:t>On the capacity development side, lessons learned in 2011 will be integrated and planned activities will 1) step up efforts to include important ministries with lower levels of coordination capacities, and to fa</w:t>
      </w:r>
      <w:r w:rsidR="00EA30D1">
        <w:rPr>
          <w:sz w:val="24"/>
          <w:szCs w:val="24"/>
        </w:rPr>
        <w:t>cilitate exchanges of experience</w:t>
      </w:r>
      <w:r>
        <w:rPr>
          <w:sz w:val="24"/>
          <w:szCs w:val="24"/>
        </w:rPr>
        <w:t xml:space="preserve"> with more advanced ministries; 2) start engaging </w:t>
      </w:r>
      <w:r w:rsidR="00EA30D1">
        <w:rPr>
          <w:sz w:val="24"/>
          <w:szCs w:val="24"/>
        </w:rPr>
        <w:t>local levels of Government on aid effectiveness and their potential role, with an emphasis on downward accountability; 3) conduct follow-up sessions with trainees to gather feedback on the concrete results of the trainings and any obstacles faced in applying their new skills.</w:t>
      </w:r>
    </w:p>
    <w:p w:rsidR="00EA30D1" w:rsidRDefault="00EA30D1" w:rsidP="00EB44C3">
      <w:pPr>
        <w:jc w:val="both"/>
        <w:rPr>
          <w:sz w:val="24"/>
          <w:szCs w:val="24"/>
        </w:rPr>
      </w:pPr>
      <w:r>
        <w:rPr>
          <w:sz w:val="24"/>
          <w:szCs w:val="24"/>
        </w:rPr>
        <w:t>AMP implementation will continue with the roll-out of AMP to more ministries and a public launch of the database planned for mid-2012, as a key contribution to aid transparency and accountability efforts in Nepal. A development cooperation report will be produced for the first time in 7 years. The partial integration of AMP with the national budget and financial management systems is also planned, subjec</w:t>
      </w:r>
      <w:r w:rsidR="00957925">
        <w:rPr>
          <w:sz w:val="24"/>
          <w:szCs w:val="24"/>
        </w:rPr>
        <w:t>t to availability of resources.</w:t>
      </w:r>
    </w:p>
    <w:p w:rsidR="00EA30D1" w:rsidRDefault="00EA30D1" w:rsidP="00EB44C3">
      <w:pPr>
        <w:jc w:val="both"/>
        <w:rPr>
          <w:sz w:val="24"/>
          <w:szCs w:val="24"/>
        </w:rPr>
      </w:pPr>
      <w:r>
        <w:rPr>
          <w:sz w:val="24"/>
          <w:szCs w:val="24"/>
        </w:rPr>
        <w:t>The project is facing a significant fundi</w:t>
      </w:r>
      <w:r w:rsidR="006974B7">
        <w:rPr>
          <w:sz w:val="24"/>
          <w:szCs w:val="24"/>
        </w:rPr>
        <w:t>ng gap for 2012, amounting to 35</w:t>
      </w:r>
      <w:r>
        <w:rPr>
          <w:sz w:val="24"/>
          <w:szCs w:val="24"/>
        </w:rPr>
        <w:t>7,000 USD. It corresponds to AMP-related activities and some aspects of the policy support provided for the Foreign Aid Policy and aid coordination me</w:t>
      </w:r>
      <w:r w:rsidR="00957925">
        <w:rPr>
          <w:sz w:val="24"/>
          <w:szCs w:val="24"/>
        </w:rPr>
        <w:t>chanisms.</w:t>
      </w:r>
    </w:p>
    <w:p w:rsidR="00EA30D1" w:rsidRDefault="00EA30D1" w:rsidP="00EB44C3">
      <w:pPr>
        <w:jc w:val="both"/>
        <w:rPr>
          <w:sz w:val="24"/>
          <w:szCs w:val="24"/>
        </w:rPr>
      </w:pPr>
      <w:r>
        <w:rPr>
          <w:sz w:val="24"/>
          <w:szCs w:val="24"/>
        </w:rPr>
        <w:t xml:space="preserve">The project is scheduled for completion at the end of 2012. A review will be conducted in the first half of the year to evaluate project achievements and discuss </w:t>
      </w:r>
      <w:r w:rsidR="00957925">
        <w:rPr>
          <w:sz w:val="24"/>
          <w:szCs w:val="24"/>
        </w:rPr>
        <w:t>support to GoN’s aid effectiveness initiatives post-2012.</w:t>
      </w:r>
    </w:p>
    <w:p w:rsidR="00746B58" w:rsidRDefault="00746B58">
      <w:pPr>
        <w:rPr>
          <w:b/>
          <w:sz w:val="28"/>
          <w:szCs w:val="28"/>
        </w:rPr>
      </w:pPr>
    </w:p>
    <w:p w:rsidR="00746B58" w:rsidRPr="00772DAF" w:rsidRDefault="00746B58" w:rsidP="00772DAF">
      <w:pPr>
        <w:pStyle w:val="ListParagraph"/>
        <w:numPr>
          <w:ilvl w:val="0"/>
          <w:numId w:val="2"/>
        </w:numPr>
        <w:spacing w:after="0"/>
        <w:rPr>
          <w:b/>
          <w:sz w:val="28"/>
          <w:szCs w:val="28"/>
        </w:rPr>
      </w:pPr>
      <w:r w:rsidRPr="00772DAF">
        <w:rPr>
          <w:b/>
          <w:sz w:val="28"/>
          <w:szCs w:val="28"/>
        </w:rPr>
        <w:lastRenderedPageBreak/>
        <w:t>Backgroun</w:t>
      </w:r>
      <w:r w:rsidR="00772DAF" w:rsidRPr="00772DAF">
        <w:rPr>
          <w:b/>
          <w:sz w:val="28"/>
          <w:szCs w:val="28"/>
        </w:rPr>
        <w:t>d</w:t>
      </w:r>
    </w:p>
    <w:p w:rsidR="00772DAF" w:rsidRDefault="00772DAF" w:rsidP="00661CFA">
      <w:pPr>
        <w:spacing w:after="0"/>
        <w:rPr>
          <w:b/>
          <w:sz w:val="28"/>
          <w:szCs w:val="28"/>
        </w:rPr>
      </w:pPr>
    </w:p>
    <w:p w:rsidR="00746B58" w:rsidRDefault="00772DAF" w:rsidP="00772DAF">
      <w:pPr>
        <w:spacing w:after="0"/>
        <w:jc w:val="both"/>
        <w:rPr>
          <w:sz w:val="24"/>
          <w:szCs w:val="24"/>
        </w:rPr>
      </w:pPr>
      <w:r>
        <w:rPr>
          <w:sz w:val="24"/>
          <w:szCs w:val="24"/>
        </w:rPr>
        <w:t>After years of conflict in Nepal, there is a great expectation that the national vision for development can now be realized. Success will hinge, however, on the outcome of internal political processes and the country’s ability to formulate a coherent strategy and align domestic and external resources to its successful implementation. International assistance plays a significant role in Nepal’s socio-economic development</w:t>
      </w:r>
      <w:r w:rsidR="006710F5">
        <w:rPr>
          <w:sz w:val="24"/>
          <w:szCs w:val="24"/>
        </w:rPr>
        <w:t>, amounting to</w:t>
      </w:r>
      <w:r w:rsidR="00565002">
        <w:rPr>
          <w:sz w:val="24"/>
          <w:szCs w:val="24"/>
        </w:rPr>
        <w:t xml:space="preserve"> </w:t>
      </w:r>
      <w:r w:rsidR="00957925">
        <w:rPr>
          <w:sz w:val="24"/>
          <w:szCs w:val="24"/>
        </w:rPr>
        <w:t>26% of the national budget and 41</w:t>
      </w:r>
      <w:r w:rsidR="006710F5">
        <w:rPr>
          <w:sz w:val="24"/>
          <w:szCs w:val="24"/>
        </w:rPr>
        <w:t>% of c</w:t>
      </w:r>
      <w:r w:rsidR="00957925">
        <w:rPr>
          <w:sz w:val="24"/>
          <w:szCs w:val="24"/>
        </w:rPr>
        <w:t>apital expenditures for the 2011-2012</w:t>
      </w:r>
      <w:r w:rsidR="006710F5">
        <w:rPr>
          <w:sz w:val="24"/>
          <w:szCs w:val="24"/>
        </w:rPr>
        <w:t xml:space="preserve"> fiscal year.</w:t>
      </w:r>
    </w:p>
    <w:p w:rsidR="006710F5" w:rsidRDefault="006710F5" w:rsidP="00772DAF">
      <w:pPr>
        <w:spacing w:after="0"/>
        <w:jc w:val="both"/>
        <w:rPr>
          <w:sz w:val="24"/>
          <w:szCs w:val="24"/>
        </w:rPr>
      </w:pPr>
    </w:p>
    <w:p w:rsidR="006710F5" w:rsidRDefault="00957925" w:rsidP="00772DAF">
      <w:pPr>
        <w:spacing w:after="0"/>
        <w:jc w:val="both"/>
        <w:rPr>
          <w:sz w:val="24"/>
          <w:szCs w:val="24"/>
        </w:rPr>
      </w:pPr>
      <w:r>
        <w:rPr>
          <w:sz w:val="24"/>
          <w:szCs w:val="24"/>
        </w:rPr>
        <w:t>The 2011</w:t>
      </w:r>
      <w:r w:rsidR="00A136EB">
        <w:rPr>
          <w:sz w:val="24"/>
          <w:szCs w:val="24"/>
        </w:rPr>
        <w:t xml:space="preserve"> </w:t>
      </w:r>
      <w:r>
        <w:rPr>
          <w:sz w:val="24"/>
          <w:szCs w:val="24"/>
        </w:rPr>
        <w:t>Paris Declaration</w:t>
      </w:r>
      <w:r w:rsidR="00A136EB">
        <w:rPr>
          <w:sz w:val="24"/>
          <w:szCs w:val="24"/>
        </w:rPr>
        <w:t xml:space="preserve"> </w:t>
      </w:r>
      <w:r>
        <w:rPr>
          <w:sz w:val="24"/>
          <w:szCs w:val="24"/>
        </w:rPr>
        <w:t>Monitoring S</w:t>
      </w:r>
      <w:r w:rsidR="00A136EB">
        <w:rPr>
          <w:sz w:val="24"/>
          <w:szCs w:val="24"/>
        </w:rPr>
        <w:t>urvey</w:t>
      </w:r>
      <w:r w:rsidR="00E46C41">
        <w:rPr>
          <w:sz w:val="24"/>
          <w:szCs w:val="24"/>
        </w:rPr>
        <w:t xml:space="preserve"> has shown some progress for example on the coordination of technical assistance and country analytical work.</w:t>
      </w:r>
      <w:r w:rsidR="00A136EB">
        <w:rPr>
          <w:sz w:val="24"/>
          <w:szCs w:val="24"/>
        </w:rPr>
        <w:t xml:space="preserve"> </w:t>
      </w:r>
      <w:r w:rsidR="00E46C41">
        <w:rPr>
          <w:sz w:val="24"/>
          <w:szCs w:val="24"/>
        </w:rPr>
        <w:t xml:space="preserve">However, the survey also </w:t>
      </w:r>
      <w:r w:rsidR="00A136EB">
        <w:rPr>
          <w:sz w:val="24"/>
          <w:szCs w:val="24"/>
        </w:rPr>
        <w:t xml:space="preserve">highlights </w:t>
      </w:r>
      <w:r>
        <w:rPr>
          <w:sz w:val="24"/>
          <w:szCs w:val="24"/>
        </w:rPr>
        <w:t>some persisting</w:t>
      </w:r>
      <w:r w:rsidR="00A136EB">
        <w:rPr>
          <w:sz w:val="24"/>
          <w:szCs w:val="24"/>
        </w:rPr>
        <w:t xml:space="preserve"> constraints that make it difficult for Nepal to ensure alignment and effectiveness.</w:t>
      </w:r>
      <w:r>
        <w:rPr>
          <w:sz w:val="24"/>
          <w:szCs w:val="24"/>
        </w:rPr>
        <w:t xml:space="preserve"> </w:t>
      </w:r>
      <w:r w:rsidR="00A136EB">
        <w:rPr>
          <w:sz w:val="24"/>
          <w:szCs w:val="24"/>
        </w:rPr>
        <w:t>On average</w:t>
      </w:r>
      <w:r w:rsidR="00752AC0">
        <w:rPr>
          <w:sz w:val="24"/>
          <w:szCs w:val="24"/>
        </w:rPr>
        <w:t xml:space="preserve"> per donor, only 58</w:t>
      </w:r>
      <w:r w:rsidR="00A136EB">
        <w:rPr>
          <w:sz w:val="24"/>
          <w:szCs w:val="24"/>
        </w:rPr>
        <w:t>% of donor assistance is recor</w:t>
      </w:r>
      <w:r w:rsidR="00752AC0">
        <w:rPr>
          <w:sz w:val="24"/>
          <w:szCs w:val="24"/>
        </w:rPr>
        <w:t>ded in the Red Book (budget), the levels of</w:t>
      </w:r>
      <w:r w:rsidR="00A136EB">
        <w:rPr>
          <w:sz w:val="24"/>
          <w:szCs w:val="24"/>
        </w:rPr>
        <w:t xml:space="preserve"> aid for the government sector </w:t>
      </w:r>
      <w:r w:rsidR="00752AC0">
        <w:rPr>
          <w:sz w:val="24"/>
          <w:szCs w:val="24"/>
        </w:rPr>
        <w:t>using national</w:t>
      </w:r>
      <w:r w:rsidR="00A136EB">
        <w:rPr>
          <w:sz w:val="24"/>
          <w:szCs w:val="24"/>
        </w:rPr>
        <w:t xml:space="preserve"> Public Financial Management</w:t>
      </w:r>
      <w:r w:rsidR="00E46C41">
        <w:rPr>
          <w:sz w:val="24"/>
          <w:szCs w:val="24"/>
        </w:rPr>
        <w:t xml:space="preserve"> (PFM)</w:t>
      </w:r>
      <w:r w:rsidR="00A136EB">
        <w:rPr>
          <w:sz w:val="24"/>
          <w:szCs w:val="24"/>
        </w:rPr>
        <w:t xml:space="preserve"> systems</w:t>
      </w:r>
      <w:r w:rsidR="00752AC0">
        <w:rPr>
          <w:sz w:val="24"/>
          <w:szCs w:val="24"/>
        </w:rPr>
        <w:t xml:space="preserve"> has gone down to 63%</w:t>
      </w:r>
      <w:r w:rsidR="00E46C41">
        <w:rPr>
          <w:sz w:val="24"/>
          <w:szCs w:val="24"/>
        </w:rPr>
        <w:t>, and to 35% for use of procurement systems. Only 31% of all assistance is through programme-based approaches</w:t>
      </w:r>
      <w:r w:rsidR="00A136EB">
        <w:rPr>
          <w:sz w:val="24"/>
          <w:szCs w:val="24"/>
        </w:rPr>
        <w:t xml:space="preserve">. </w:t>
      </w:r>
      <w:r w:rsidR="00E46C41">
        <w:rPr>
          <w:sz w:val="24"/>
          <w:szCs w:val="24"/>
        </w:rPr>
        <w:t xml:space="preserve">This reflects differing views between GoN and development partners on the quality of national systems. </w:t>
      </w:r>
      <w:r>
        <w:rPr>
          <w:sz w:val="24"/>
          <w:szCs w:val="24"/>
        </w:rPr>
        <w:t xml:space="preserve">The medium term expenditure framework – which forms a bridge between plan and budget – still requires further improvement. </w:t>
      </w:r>
      <w:r w:rsidR="00A136EB">
        <w:rPr>
          <w:sz w:val="24"/>
          <w:szCs w:val="24"/>
        </w:rPr>
        <w:t xml:space="preserve">Systems for monitoring the planned and actual results of public investments </w:t>
      </w:r>
      <w:r>
        <w:rPr>
          <w:sz w:val="24"/>
          <w:szCs w:val="24"/>
        </w:rPr>
        <w:t>have seen some progress but</w:t>
      </w:r>
      <w:r w:rsidR="00A136EB">
        <w:rPr>
          <w:sz w:val="24"/>
          <w:szCs w:val="24"/>
        </w:rPr>
        <w:t xml:space="preserve"> difficulties in bringing together budget, ODA and results data make it difficult to </w:t>
      </w:r>
      <w:r>
        <w:rPr>
          <w:sz w:val="24"/>
          <w:szCs w:val="24"/>
        </w:rPr>
        <w:t xml:space="preserve">effectively </w:t>
      </w:r>
      <w:r w:rsidR="00A136EB">
        <w:rPr>
          <w:sz w:val="24"/>
          <w:szCs w:val="24"/>
        </w:rPr>
        <w:t>manage for results.</w:t>
      </w:r>
    </w:p>
    <w:p w:rsidR="00A136EB" w:rsidRDefault="00A136EB" w:rsidP="00772DAF">
      <w:pPr>
        <w:spacing w:after="0"/>
        <w:jc w:val="both"/>
        <w:rPr>
          <w:sz w:val="24"/>
          <w:szCs w:val="24"/>
        </w:rPr>
      </w:pPr>
    </w:p>
    <w:p w:rsidR="00A136EB" w:rsidRDefault="00E46C41" w:rsidP="00772DAF">
      <w:pPr>
        <w:spacing w:after="0"/>
        <w:jc w:val="both"/>
        <w:rPr>
          <w:sz w:val="24"/>
          <w:szCs w:val="24"/>
        </w:rPr>
      </w:pPr>
      <w:r>
        <w:rPr>
          <w:sz w:val="24"/>
          <w:szCs w:val="24"/>
        </w:rPr>
        <w:t>GoN</w:t>
      </w:r>
      <w:r w:rsidR="00A136EB">
        <w:rPr>
          <w:sz w:val="24"/>
          <w:szCs w:val="24"/>
        </w:rPr>
        <w:t xml:space="preserve"> is aware of these challenges and has taken steps to</w:t>
      </w:r>
      <w:r>
        <w:rPr>
          <w:sz w:val="24"/>
          <w:szCs w:val="24"/>
        </w:rPr>
        <w:t xml:space="preserve"> address them, for example through PFM and procurement reforms, the development of results-based business plans for key ministries, and work on a human resource policy</w:t>
      </w:r>
      <w:r w:rsidR="00A136EB">
        <w:rPr>
          <w:sz w:val="24"/>
          <w:szCs w:val="24"/>
        </w:rPr>
        <w:t>.</w:t>
      </w:r>
      <w:r w:rsidR="00F84550">
        <w:rPr>
          <w:sz w:val="24"/>
          <w:szCs w:val="24"/>
        </w:rPr>
        <w:t xml:space="preserve"> Individual line </w:t>
      </w:r>
      <w:r w:rsidR="007D1609">
        <w:rPr>
          <w:sz w:val="24"/>
          <w:szCs w:val="24"/>
        </w:rPr>
        <w:t>m</w:t>
      </w:r>
      <w:r w:rsidR="00F84550">
        <w:rPr>
          <w:sz w:val="24"/>
          <w:szCs w:val="24"/>
        </w:rPr>
        <w:t>ini</w:t>
      </w:r>
      <w:r w:rsidR="007D1609">
        <w:rPr>
          <w:sz w:val="24"/>
          <w:szCs w:val="24"/>
        </w:rPr>
        <w:t>s</w:t>
      </w:r>
      <w:r w:rsidR="00F84550">
        <w:rPr>
          <w:sz w:val="24"/>
          <w:szCs w:val="24"/>
        </w:rPr>
        <w:t>tries have also made progress towards better aid effectiveness, notably through SWAps and programme-based approache</w:t>
      </w:r>
      <w:r>
        <w:rPr>
          <w:sz w:val="24"/>
          <w:szCs w:val="24"/>
        </w:rPr>
        <w:t xml:space="preserve">s in Health, Education and </w:t>
      </w:r>
      <w:r w:rsidR="00F84550">
        <w:rPr>
          <w:sz w:val="24"/>
          <w:szCs w:val="24"/>
        </w:rPr>
        <w:t>Local Development.</w:t>
      </w:r>
    </w:p>
    <w:p w:rsidR="00E82784" w:rsidRDefault="00E82784" w:rsidP="00772DAF">
      <w:pPr>
        <w:spacing w:after="0"/>
        <w:jc w:val="both"/>
        <w:rPr>
          <w:sz w:val="24"/>
          <w:szCs w:val="24"/>
        </w:rPr>
      </w:pPr>
    </w:p>
    <w:p w:rsidR="00E82784" w:rsidRDefault="00E82784" w:rsidP="00772DAF">
      <w:pPr>
        <w:spacing w:after="0"/>
        <w:jc w:val="both"/>
        <w:rPr>
          <w:sz w:val="24"/>
          <w:szCs w:val="24"/>
        </w:rPr>
      </w:pPr>
      <w:r>
        <w:rPr>
          <w:sz w:val="24"/>
          <w:szCs w:val="24"/>
        </w:rPr>
        <w:t xml:space="preserve">This project seeks to support aid management efforts by focusing not only on central policy </w:t>
      </w:r>
      <w:r w:rsidR="00184687">
        <w:rPr>
          <w:sz w:val="24"/>
          <w:szCs w:val="24"/>
        </w:rPr>
        <w:t>level institutions</w:t>
      </w:r>
      <w:r>
        <w:rPr>
          <w:sz w:val="24"/>
          <w:szCs w:val="24"/>
        </w:rPr>
        <w:t xml:space="preserve"> (such as MoF or NPC), but also on key line ministries</w:t>
      </w:r>
      <w:r w:rsidR="00A83BC6">
        <w:rPr>
          <w:sz w:val="24"/>
          <w:szCs w:val="24"/>
        </w:rPr>
        <w:t xml:space="preserve">, in order to </w:t>
      </w:r>
      <w:r w:rsidR="00296B74">
        <w:rPr>
          <w:sz w:val="24"/>
          <w:szCs w:val="24"/>
        </w:rPr>
        <w:t>support</w:t>
      </w:r>
      <w:r>
        <w:rPr>
          <w:sz w:val="24"/>
          <w:szCs w:val="24"/>
        </w:rPr>
        <w:t xml:space="preserve"> a common understanding of their respective roles in the implementation of the aid effectiveness agenda in Nepal</w:t>
      </w:r>
      <w:r w:rsidR="00A83BC6">
        <w:rPr>
          <w:sz w:val="24"/>
          <w:szCs w:val="24"/>
        </w:rPr>
        <w:t xml:space="preserve">, </w:t>
      </w:r>
      <w:r w:rsidR="00296B74">
        <w:rPr>
          <w:sz w:val="24"/>
          <w:szCs w:val="24"/>
        </w:rPr>
        <w:t xml:space="preserve">build the required linkages between them, </w:t>
      </w:r>
      <w:r w:rsidR="00A83BC6">
        <w:rPr>
          <w:sz w:val="24"/>
          <w:szCs w:val="24"/>
        </w:rPr>
        <w:t>and provide coordinated capacity development support.</w:t>
      </w:r>
    </w:p>
    <w:p w:rsidR="00E82784" w:rsidRDefault="00E82784" w:rsidP="00772DAF">
      <w:pPr>
        <w:spacing w:after="0"/>
        <w:jc w:val="both"/>
        <w:rPr>
          <w:sz w:val="24"/>
          <w:szCs w:val="24"/>
        </w:rPr>
      </w:pPr>
    </w:p>
    <w:p w:rsidR="00E82784" w:rsidRPr="00E82784" w:rsidRDefault="00E974EB" w:rsidP="00E82784">
      <w:pPr>
        <w:pStyle w:val="ListParagraph"/>
        <w:numPr>
          <w:ilvl w:val="0"/>
          <w:numId w:val="2"/>
        </w:numPr>
        <w:spacing w:after="0"/>
        <w:jc w:val="both"/>
        <w:rPr>
          <w:b/>
          <w:sz w:val="28"/>
          <w:szCs w:val="28"/>
        </w:rPr>
      </w:pPr>
      <w:r>
        <w:rPr>
          <w:b/>
          <w:sz w:val="28"/>
          <w:szCs w:val="28"/>
        </w:rPr>
        <w:t>Progress summary</w:t>
      </w:r>
    </w:p>
    <w:p w:rsidR="00A136EB" w:rsidRDefault="00A136EB" w:rsidP="00772DAF">
      <w:pPr>
        <w:spacing w:after="0"/>
        <w:jc w:val="both"/>
        <w:rPr>
          <w:sz w:val="24"/>
          <w:szCs w:val="24"/>
        </w:rPr>
      </w:pPr>
    </w:p>
    <w:p w:rsidR="00E477AF" w:rsidRDefault="00E477AF" w:rsidP="00772DAF">
      <w:pPr>
        <w:spacing w:after="0"/>
        <w:jc w:val="both"/>
        <w:rPr>
          <w:sz w:val="24"/>
          <w:szCs w:val="24"/>
        </w:rPr>
      </w:pPr>
      <w:r>
        <w:rPr>
          <w:sz w:val="24"/>
          <w:szCs w:val="24"/>
        </w:rPr>
        <w:t xml:space="preserve">The project </w:t>
      </w:r>
      <w:r w:rsidR="00E46C41">
        <w:rPr>
          <w:sz w:val="24"/>
          <w:szCs w:val="24"/>
        </w:rPr>
        <w:t>is active in</w:t>
      </w:r>
      <w:r>
        <w:rPr>
          <w:sz w:val="24"/>
          <w:szCs w:val="24"/>
        </w:rPr>
        <w:t xml:space="preserve"> three main </w:t>
      </w:r>
      <w:r w:rsidR="00E46C41">
        <w:rPr>
          <w:sz w:val="24"/>
          <w:szCs w:val="24"/>
        </w:rPr>
        <w:t>areas</w:t>
      </w:r>
      <w:r>
        <w:rPr>
          <w:sz w:val="24"/>
          <w:szCs w:val="24"/>
        </w:rPr>
        <w:t>:</w:t>
      </w:r>
    </w:p>
    <w:p w:rsidR="00A1159F" w:rsidRDefault="00A1159F" w:rsidP="00772DAF">
      <w:pPr>
        <w:spacing w:after="0"/>
        <w:jc w:val="both"/>
        <w:rPr>
          <w:sz w:val="24"/>
          <w:szCs w:val="24"/>
        </w:rPr>
      </w:pPr>
    </w:p>
    <w:p w:rsidR="00E477AF" w:rsidRDefault="00E477AF" w:rsidP="00E477AF">
      <w:pPr>
        <w:pStyle w:val="ListParagraph"/>
        <w:numPr>
          <w:ilvl w:val="0"/>
          <w:numId w:val="3"/>
        </w:numPr>
        <w:spacing w:after="0"/>
        <w:jc w:val="both"/>
        <w:rPr>
          <w:sz w:val="24"/>
          <w:szCs w:val="24"/>
        </w:rPr>
      </w:pPr>
      <w:r>
        <w:rPr>
          <w:sz w:val="24"/>
          <w:szCs w:val="24"/>
        </w:rPr>
        <w:lastRenderedPageBreak/>
        <w:t xml:space="preserve">Support to </w:t>
      </w:r>
      <w:r w:rsidR="00E46C41">
        <w:rPr>
          <w:sz w:val="24"/>
          <w:szCs w:val="24"/>
        </w:rPr>
        <w:t xml:space="preserve">increased aid transparency and accountability through </w:t>
      </w:r>
      <w:r>
        <w:rPr>
          <w:sz w:val="24"/>
          <w:szCs w:val="24"/>
        </w:rPr>
        <w:t>the implementation of the national Aid Management Platform</w:t>
      </w:r>
      <w:r w:rsidR="00296B74">
        <w:rPr>
          <w:sz w:val="24"/>
          <w:szCs w:val="24"/>
        </w:rPr>
        <w:t>;</w:t>
      </w:r>
    </w:p>
    <w:p w:rsidR="00E477AF" w:rsidRDefault="00E477AF" w:rsidP="00E477AF">
      <w:pPr>
        <w:pStyle w:val="ListParagraph"/>
        <w:numPr>
          <w:ilvl w:val="0"/>
          <w:numId w:val="3"/>
        </w:numPr>
        <w:spacing w:after="0"/>
        <w:jc w:val="both"/>
        <w:rPr>
          <w:sz w:val="24"/>
          <w:szCs w:val="24"/>
        </w:rPr>
      </w:pPr>
      <w:r>
        <w:rPr>
          <w:sz w:val="24"/>
          <w:szCs w:val="24"/>
        </w:rPr>
        <w:t>Facilitation of policy initiatives,</w:t>
      </w:r>
      <w:r w:rsidR="00296B74">
        <w:rPr>
          <w:sz w:val="24"/>
          <w:szCs w:val="24"/>
        </w:rPr>
        <w:t xml:space="preserve"> including the revised Foreign Aid Policy and </w:t>
      </w:r>
      <w:r w:rsidR="00E46C41">
        <w:rPr>
          <w:sz w:val="24"/>
          <w:szCs w:val="24"/>
        </w:rPr>
        <w:t>GoN-donor coordination mechanisms</w:t>
      </w:r>
      <w:r w:rsidR="00296B74">
        <w:rPr>
          <w:sz w:val="24"/>
          <w:szCs w:val="24"/>
        </w:rPr>
        <w:t>;</w:t>
      </w:r>
    </w:p>
    <w:p w:rsidR="00296B74" w:rsidRDefault="00296B74" w:rsidP="00E477AF">
      <w:pPr>
        <w:pStyle w:val="ListParagraph"/>
        <w:numPr>
          <w:ilvl w:val="0"/>
          <w:numId w:val="3"/>
        </w:numPr>
        <w:spacing w:after="0"/>
        <w:jc w:val="both"/>
        <w:rPr>
          <w:sz w:val="24"/>
          <w:szCs w:val="24"/>
        </w:rPr>
      </w:pPr>
      <w:r>
        <w:rPr>
          <w:sz w:val="24"/>
          <w:szCs w:val="24"/>
        </w:rPr>
        <w:t>Support ministries’ ownership and capacity  to engage in aid effectiveness</w:t>
      </w:r>
    </w:p>
    <w:p w:rsidR="00296B74" w:rsidRDefault="00296B74" w:rsidP="00296B74">
      <w:pPr>
        <w:spacing w:after="0"/>
        <w:jc w:val="both"/>
        <w:rPr>
          <w:sz w:val="24"/>
          <w:szCs w:val="24"/>
        </w:rPr>
      </w:pPr>
    </w:p>
    <w:p w:rsidR="00A1159F" w:rsidRPr="00A1159F" w:rsidRDefault="00E46C41" w:rsidP="00296B74">
      <w:pPr>
        <w:spacing w:after="0"/>
        <w:jc w:val="both"/>
        <w:rPr>
          <w:sz w:val="24"/>
          <w:szCs w:val="24"/>
        </w:rPr>
      </w:pPr>
      <w:r>
        <w:rPr>
          <w:sz w:val="24"/>
          <w:szCs w:val="24"/>
        </w:rPr>
        <w:t>2011</w:t>
      </w:r>
      <w:r w:rsidR="00A1159F">
        <w:rPr>
          <w:sz w:val="24"/>
          <w:szCs w:val="24"/>
        </w:rPr>
        <w:t xml:space="preserve"> progress against annual result targets for each activ</w:t>
      </w:r>
      <w:r w:rsidR="005F6DEB">
        <w:rPr>
          <w:sz w:val="24"/>
          <w:szCs w:val="24"/>
        </w:rPr>
        <w:t>ity is summarized below.</w:t>
      </w:r>
    </w:p>
    <w:p w:rsidR="00A1159F" w:rsidRDefault="00A1159F" w:rsidP="00296B74">
      <w:pPr>
        <w:spacing w:after="0"/>
        <w:jc w:val="both"/>
        <w:rPr>
          <w:b/>
          <w:sz w:val="24"/>
          <w:szCs w:val="24"/>
        </w:rPr>
      </w:pPr>
    </w:p>
    <w:p w:rsidR="00296B74" w:rsidRDefault="00574C9C" w:rsidP="00296B74">
      <w:pPr>
        <w:spacing w:after="0"/>
        <w:jc w:val="both"/>
        <w:rPr>
          <w:b/>
          <w:sz w:val="24"/>
          <w:szCs w:val="24"/>
        </w:rPr>
      </w:pPr>
      <w:r>
        <w:rPr>
          <w:b/>
          <w:sz w:val="24"/>
          <w:szCs w:val="24"/>
        </w:rPr>
        <w:t>Activity R</w:t>
      </w:r>
      <w:r w:rsidR="00296B74">
        <w:rPr>
          <w:b/>
          <w:sz w:val="24"/>
          <w:szCs w:val="24"/>
        </w:rPr>
        <w:t xml:space="preserve">esult 1: Aid </w:t>
      </w:r>
      <w:r>
        <w:rPr>
          <w:b/>
          <w:sz w:val="24"/>
          <w:szCs w:val="24"/>
        </w:rPr>
        <w:t>Management Platform launched and available online to MoF and development partners</w:t>
      </w:r>
    </w:p>
    <w:p w:rsidR="00296B74" w:rsidRDefault="00296B74" w:rsidP="00296B74">
      <w:pPr>
        <w:spacing w:after="0"/>
        <w:jc w:val="both"/>
        <w:rPr>
          <w:b/>
          <w:sz w:val="24"/>
          <w:szCs w:val="24"/>
        </w:rPr>
      </w:pPr>
    </w:p>
    <w:p w:rsidR="00782488" w:rsidRPr="00782488" w:rsidRDefault="00A1159F" w:rsidP="00782488">
      <w:pPr>
        <w:pStyle w:val="ListParagraph"/>
        <w:numPr>
          <w:ilvl w:val="0"/>
          <w:numId w:val="4"/>
        </w:numPr>
        <w:spacing w:after="0"/>
        <w:jc w:val="both"/>
        <w:rPr>
          <w:b/>
          <w:sz w:val="24"/>
          <w:szCs w:val="24"/>
        </w:rPr>
      </w:pPr>
      <w:r w:rsidRPr="005F2F44">
        <w:rPr>
          <w:sz w:val="24"/>
          <w:szCs w:val="24"/>
        </w:rPr>
        <w:t xml:space="preserve">The </w:t>
      </w:r>
      <w:r w:rsidR="00574C9C">
        <w:rPr>
          <w:sz w:val="24"/>
          <w:szCs w:val="24"/>
        </w:rPr>
        <w:t>Aid Management Platform was launched with all resident donors throughout the first half of 2011. Designated donor focal points were trained individually and provided access to their respective donor workspaces as well as the coordination workspace where all data can be viewed and reports produced. Verification of data entered by GoN for on-budget projects and entry of off-budget projects was completed by July 2011.</w:t>
      </w:r>
      <w:r w:rsidR="00782488" w:rsidRPr="00782488">
        <w:rPr>
          <w:sz w:val="24"/>
          <w:szCs w:val="24"/>
        </w:rPr>
        <w:t xml:space="preserve"> </w:t>
      </w:r>
    </w:p>
    <w:p w:rsidR="00782488" w:rsidRPr="00782488" w:rsidRDefault="00782488" w:rsidP="00782488">
      <w:pPr>
        <w:pStyle w:val="ListParagraph"/>
        <w:spacing w:after="0"/>
        <w:jc w:val="both"/>
        <w:rPr>
          <w:b/>
          <w:sz w:val="24"/>
          <w:szCs w:val="24"/>
        </w:rPr>
      </w:pPr>
    </w:p>
    <w:p w:rsidR="00296B74" w:rsidRPr="00E1468F" w:rsidRDefault="00782488" w:rsidP="00782488">
      <w:pPr>
        <w:pStyle w:val="ListParagraph"/>
        <w:numPr>
          <w:ilvl w:val="0"/>
          <w:numId w:val="4"/>
        </w:numPr>
        <w:spacing w:after="0"/>
        <w:jc w:val="both"/>
        <w:rPr>
          <w:b/>
          <w:sz w:val="24"/>
          <w:szCs w:val="24"/>
        </w:rPr>
      </w:pPr>
      <w:r>
        <w:rPr>
          <w:sz w:val="24"/>
          <w:szCs w:val="24"/>
        </w:rPr>
        <w:t xml:space="preserve">The AMP data management guidelines have been finalized, approved by the AMP Working Group and disseminated. They include a description of the reporting responsibilities for both donors and GoN. Donor performance in reporting in AMP by the agreed deadlines has been mixed for the first </w:t>
      </w:r>
      <w:r w:rsidR="00903AB9">
        <w:rPr>
          <w:sz w:val="24"/>
          <w:szCs w:val="24"/>
        </w:rPr>
        <w:t>two reporting cycles (July and November), with about one third of donors completing the task on time and the other two thirds requiring various levels of follow-up.</w:t>
      </w:r>
    </w:p>
    <w:p w:rsidR="00E1468F" w:rsidRDefault="00E1468F" w:rsidP="00E1468F">
      <w:pPr>
        <w:spacing w:after="0"/>
        <w:jc w:val="both"/>
        <w:rPr>
          <w:b/>
          <w:sz w:val="24"/>
          <w:szCs w:val="24"/>
        </w:rPr>
      </w:pPr>
    </w:p>
    <w:p w:rsidR="00E1468F" w:rsidRPr="004052BA" w:rsidRDefault="008E682F" w:rsidP="004052BA">
      <w:pPr>
        <w:spacing w:after="0"/>
        <w:ind w:left="630"/>
        <w:jc w:val="both"/>
        <w:rPr>
          <w:b/>
          <w:i/>
          <w:sz w:val="24"/>
          <w:szCs w:val="24"/>
        </w:rPr>
      </w:pPr>
      <w:r w:rsidRPr="004052BA">
        <w:rPr>
          <w:b/>
          <w:i/>
          <w:sz w:val="24"/>
          <w:szCs w:val="24"/>
        </w:rPr>
        <w:t xml:space="preserve">Table 1: </w:t>
      </w:r>
      <w:r w:rsidR="00E1468F" w:rsidRPr="004052BA">
        <w:rPr>
          <w:b/>
          <w:i/>
          <w:sz w:val="24"/>
          <w:szCs w:val="24"/>
        </w:rPr>
        <w:t>Donor reporting deadlines in AMP Nepal</w:t>
      </w:r>
    </w:p>
    <w:tbl>
      <w:tblPr>
        <w:tblStyle w:val="TableGrid"/>
        <w:tblW w:w="0" w:type="auto"/>
        <w:tblInd w:w="720" w:type="dxa"/>
        <w:tblLook w:val="04A0" w:firstRow="1" w:lastRow="0" w:firstColumn="1" w:lastColumn="0" w:noHBand="0" w:noVBand="1"/>
      </w:tblPr>
      <w:tblGrid>
        <w:gridCol w:w="2088"/>
        <w:gridCol w:w="6768"/>
      </w:tblGrid>
      <w:tr w:rsidR="00E1468F" w:rsidTr="008E682F">
        <w:tc>
          <w:tcPr>
            <w:tcW w:w="2088" w:type="dxa"/>
            <w:shd w:val="clear" w:color="auto" w:fill="C6D9F1" w:themeFill="text2" w:themeFillTint="33"/>
          </w:tcPr>
          <w:p w:rsidR="00E1468F" w:rsidRDefault="00E1468F" w:rsidP="004F74F9">
            <w:pPr>
              <w:pStyle w:val="ListParagraph"/>
              <w:ind w:left="0"/>
              <w:jc w:val="both"/>
              <w:rPr>
                <w:b/>
                <w:sz w:val="24"/>
                <w:szCs w:val="24"/>
              </w:rPr>
            </w:pPr>
            <w:r>
              <w:rPr>
                <w:b/>
                <w:sz w:val="24"/>
                <w:szCs w:val="24"/>
              </w:rPr>
              <w:t>Deadline</w:t>
            </w:r>
          </w:p>
        </w:tc>
        <w:tc>
          <w:tcPr>
            <w:tcW w:w="6768" w:type="dxa"/>
            <w:shd w:val="clear" w:color="auto" w:fill="C6D9F1" w:themeFill="text2" w:themeFillTint="33"/>
          </w:tcPr>
          <w:p w:rsidR="00E1468F" w:rsidRDefault="00E1468F" w:rsidP="004F74F9">
            <w:pPr>
              <w:pStyle w:val="ListParagraph"/>
              <w:ind w:left="0"/>
              <w:jc w:val="both"/>
              <w:rPr>
                <w:b/>
                <w:sz w:val="24"/>
                <w:szCs w:val="24"/>
              </w:rPr>
            </w:pPr>
            <w:r>
              <w:rPr>
                <w:b/>
                <w:sz w:val="24"/>
                <w:szCs w:val="24"/>
              </w:rPr>
              <w:t>Data to be reported</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sidRPr="00E1468F">
              <w:rPr>
                <w:sz w:val="24"/>
                <w:szCs w:val="24"/>
              </w:rPr>
              <w:t xml:space="preserve">30 November </w:t>
            </w:r>
          </w:p>
        </w:tc>
        <w:tc>
          <w:tcPr>
            <w:tcW w:w="6768" w:type="dxa"/>
          </w:tcPr>
          <w:p w:rsidR="00E1468F" w:rsidRPr="00E1468F" w:rsidRDefault="00E1468F" w:rsidP="004F74F9">
            <w:pPr>
              <w:pStyle w:val="ListParagraph"/>
              <w:ind w:left="0"/>
              <w:jc w:val="both"/>
              <w:rPr>
                <w:sz w:val="24"/>
                <w:szCs w:val="24"/>
              </w:rPr>
            </w:pPr>
            <w:r w:rsidRPr="00E1468F">
              <w:rPr>
                <w:sz w:val="24"/>
                <w:szCs w:val="24"/>
              </w:rPr>
              <w:t>Actual Disbursements (first trimester of fiscal year)</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sidRPr="00E1468F">
              <w:rPr>
                <w:sz w:val="24"/>
                <w:szCs w:val="24"/>
              </w:rPr>
              <w:t>31 December</w:t>
            </w:r>
          </w:p>
        </w:tc>
        <w:tc>
          <w:tcPr>
            <w:tcW w:w="6768" w:type="dxa"/>
          </w:tcPr>
          <w:p w:rsidR="00E1468F" w:rsidRPr="00E1468F" w:rsidRDefault="00E1468F" w:rsidP="004F74F9">
            <w:pPr>
              <w:pStyle w:val="ListParagraph"/>
              <w:ind w:left="0"/>
              <w:jc w:val="both"/>
              <w:rPr>
                <w:sz w:val="24"/>
                <w:szCs w:val="24"/>
              </w:rPr>
            </w:pPr>
            <w:r w:rsidRPr="00E1468F">
              <w:rPr>
                <w:sz w:val="24"/>
                <w:szCs w:val="24"/>
              </w:rPr>
              <w:t>Planned Disbursements (next 1-3 fiscal years)</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sidRPr="00E1468F">
              <w:rPr>
                <w:sz w:val="24"/>
                <w:szCs w:val="24"/>
              </w:rPr>
              <w:t>30 January</w:t>
            </w:r>
          </w:p>
        </w:tc>
        <w:tc>
          <w:tcPr>
            <w:tcW w:w="6768" w:type="dxa"/>
          </w:tcPr>
          <w:p w:rsidR="00E1468F" w:rsidRPr="00E1468F" w:rsidRDefault="00E1468F" w:rsidP="00E1468F">
            <w:pPr>
              <w:pStyle w:val="ListParagraph"/>
              <w:ind w:left="0"/>
              <w:jc w:val="both"/>
              <w:rPr>
                <w:sz w:val="24"/>
                <w:szCs w:val="24"/>
              </w:rPr>
            </w:pPr>
            <w:r w:rsidRPr="00E1468F">
              <w:rPr>
                <w:sz w:val="24"/>
                <w:szCs w:val="24"/>
              </w:rPr>
              <w:t xml:space="preserve">Actual Disbursements </w:t>
            </w:r>
            <w:r>
              <w:rPr>
                <w:sz w:val="24"/>
                <w:szCs w:val="24"/>
              </w:rPr>
              <w:t>up to mid-term</w:t>
            </w:r>
            <w:r w:rsidRPr="00E1468F">
              <w:rPr>
                <w:sz w:val="24"/>
                <w:szCs w:val="24"/>
              </w:rPr>
              <w:t xml:space="preserve"> of fiscal year</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sidRPr="00E1468F">
              <w:rPr>
                <w:sz w:val="24"/>
                <w:szCs w:val="24"/>
              </w:rPr>
              <w:t>30 March</w:t>
            </w:r>
          </w:p>
        </w:tc>
        <w:tc>
          <w:tcPr>
            <w:tcW w:w="6768" w:type="dxa"/>
          </w:tcPr>
          <w:p w:rsidR="00E1468F" w:rsidRDefault="00E1468F" w:rsidP="00E1468F">
            <w:pPr>
              <w:pStyle w:val="ListParagraph"/>
              <w:ind w:left="0"/>
              <w:jc w:val="both"/>
              <w:rPr>
                <w:b/>
                <w:sz w:val="24"/>
                <w:szCs w:val="24"/>
              </w:rPr>
            </w:pPr>
            <w:r w:rsidRPr="00E1468F">
              <w:rPr>
                <w:sz w:val="24"/>
                <w:szCs w:val="24"/>
              </w:rPr>
              <w:t>Actual Disbursements (</w:t>
            </w:r>
            <w:r>
              <w:rPr>
                <w:sz w:val="24"/>
                <w:szCs w:val="24"/>
              </w:rPr>
              <w:t>second</w:t>
            </w:r>
            <w:r w:rsidRPr="00E1468F">
              <w:rPr>
                <w:sz w:val="24"/>
                <w:szCs w:val="24"/>
              </w:rPr>
              <w:t xml:space="preserve"> trimester of fiscal year)</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sidRPr="00E1468F">
              <w:rPr>
                <w:sz w:val="24"/>
                <w:szCs w:val="24"/>
              </w:rPr>
              <w:t>31 July</w:t>
            </w:r>
          </w:p>
        </w:tc>
        <w:tc>
          <w:tcPr>
            <w:tcW w:w="6768" w:type="dxa"/>
          </w:tcPr>
          <w:p w:rsidR="00E1468F" w:rsidRDefault="00E1468F" w:rsidP="00E1468F">
            <w:pPr>
              <w:pStyle w:val="ListParagraph"/>
              <w:ind w:left="0"/>
              <w:jc w:val="both"/>
              <w:rPr>
                <w:b/>
                <w:sz w:val="24"/>
                <w:szCs w:val="24"/>
              </w:rPr>
            </w:pPr>
            <w:r w:rsidRPr="00E1468F">
              <w:rPr>
                <w:sz w:val="24"/>
                <w:szCs w:val="24"/>
              </w:rPr>
              <w:t>Actual Disbursements (</w:t>
            </w:r>
            <w:r>
              <w:rPr>
                <w:sz w:val="24"/>
                <w:szCs w:val="24"/>
              </w:rPr>
              <w:t>third</w:t>
            </w:r>
            <w:r w:rsidRPr="00E1468F">
              <w:rPr>
                <w:sz w:val="24"/>
                <w:szCs w:val="24"/>
              </w:rPr>
              <w:t xml:space="preserve"> trimester of fiscal year)</w:t>
            </w:r>
          </w:p>
        </w:tc>
      </w:tr>
      <w:tr w:rsidR="00E1468F" w:rsidTr="008E682F">
        <w:tc>
          <w:tcPr>
            <w:tcW w:w="2088" w:type="dxa"/>
            <w:shd w:val="clear" w:color="auto" w:fill="C6D9F1" w:themeFill="text2" w:themeFillTint="33"/>
          </w:tcPr>
          <w:p w:rsidR="00E1468F" w:rsidRPr="00E1468F" w:rsidRDefault="00E1468F" w:rsidP="004F74F9">
            <w:pPr>
              <w:pStyle w:val="ListParagraph"/>
              <w:ind w:left="0"/>
              <w:jc w:val="both"/>
              <w:rPr>
                <w:sz w:val="24"/>
                <w:szCs w:val="24"/>
              </w:rPr>
            </w:pPr>
            <w:r>
              <w:rPr>
                <w:sz w:val="24"/>
                <w:szCs w:val="24"/>
              </w:rPr>
              <w:t>As needed</w:t>
            </w:r>
          </w:p>
        </w:tc>
        <w:tc>
          <w:tcPr>
            <w:tcW w:w="6768" w:type="dxa"/>
          </w:tcPr>
          <w:p w:rsidR="00E1468F" w:rsidRPr="00E1468F" w:rsidRDefault="00E1468F" w:rsidP="004F74F9">
            <w:pPr>
              <w:pStyle w:val="ListParagraph"/>
              <w:ind w:left="0"/>
              <w:jc w:val="both"/>
              <w:rPr>
                <w:sz w:val="24"/>
                <w:szCs w:val="24"/>
              </w:rPr>
            </w:pPr>
            <w:r w:rsidRPr="00E1468F">
              <w:rPr>
                <w:sz w:val="24"/>
                <w:szCs w:val="24"/>
              </w:rPr>
              <w:t>Entry of new off-budget projects upon signature</w:t>
            </w:r>
          </w:p>
        </w:tc>
      </w:tr>
    </w:tbl>
    <w:p w:rsidR="00903AB9" w:rsidRPr="00E1468F" w:rsidRDefault="00903AB9" w:rsidP="00E1468F">
      <w:pPr>
        <w:spacing w:after="0"/>
        <w:jc w:val="both"/>
        <w:rPr>
          <w:b/>
          <w:sz w:val="24"/>
          <w:szCs w:val="24"/>
        </w:rPr>
      </w:pPr>
    </w:p>
    <w:p w:rsidR="004F74F9" w:rsidRPr="005F2F44" w:rsidRDefault="004F74F9" w:rsidP="00296B74">
      <w:pPr>
        <w:pStyle w:val="ListParagraph"/>
        <w:numPr>
          <w:ilvl w:val="0"/>
          <w:numId w:val="4"/>
        </w:numPr>
        <w:spacing w:after="0"/>
        <w:jc w:val="both"/>
        <w:rPr>
          <w:b/>
          <w:sz w:val="24"/>
          <w:szCs w:val="24"/>
        </w:rPr>
      </w:pPr>
      <w:r w:rsidRPr="005F2F44">
        <w:rPr>
          <w:sz w:val="24"/>
          <w:szCs w:val="24"/>
        </w:rPr>
        <w:t xml:space="preserve">Further customization of the system was conducted </w:t>
      </w:r>
      <w:r w:rsidR="00574C9C">
        <w:rPr>
          <w:sz w:val="24"/>
          <w:szCs w:val="24"/>
        </w:rPr>
        <w:t>to incorporate the new functional coding (sector codes) used in the national budget, and to include a gender responsiveness field, based on the methodology used for gender-responsive budgeting in the national budget.</w:t>
      </w:r>
    </w:p>
    <w:p w:rsidR="004F74F9" w:rsidRPr="005F2F44" w:rsidRDefault="004F74F9" w:rsidP="004F74F9">
      <w:pPr>
        <w:pStyle w:val="ListParagraph"/>
        <w:rPr>
          <w:sz w:val="24"/>
          <w:szCs w:val="24"/>
        </w:rPr>
      </w:pPr>
    </w:p>
    <w:p w:rsidR="004F74F9" w:rsidRPr="005F2F44" w:rsidRDefault="00574C9C" w:rsidP="00296B74">
      <w:pPr>
        <w:pStyle w:val="ListParagraph"/>
        <w:numPr>
          <w:ilvl w:val="0"/>
          <w:numId w:val="4"/>
        </w:numPr>
        <w:spacing w:after="0"/>
        <w:jc w:val="both"/>
        <w:rPr>
          <w:sz w:val="24"/>
          <w:szCs w:val="24"/>
        </w:rPr>
      </w:pPr>
      <w:r>
        <w:rPr>
          <w:sz w:val="24"/>
          <w:szCs w:val="24"/>
        </w:rPr>
        <w:lastRenderedPageBreak/>
        <w:t>AMP version 2.0 was introduced in November 2011 to improve the user friendliness of the system. It includes improved access to the edit function (to take into account slow internet connections in some donor /GoN offices)</w:t>
      </w:r>
      <w:r w:rsidR="00782488">
        <w:rPr>
          <w:sz w:val="24"/>
          <w:szCs w:val="24"/>
        </w:rPr>
        <w:t>, improved dashboards and a more user-friendly reporting module. All donor focal points were invited to a refresher training and feedback session on their AMP experience to date.</w:t>
      </w:r>
    </w:p>
    <w:p w:rsidR="004F74F9" w:rsidRPr="005F2F44" w:rsidRDefault="004F74F9" w:rsidP="004F74F9">
      <w:pPr>
        <w:pStyle w:val="ListParagraph"/>
        <w:rPr>
          <w:sz w:val="24"/>
          <w:szCs w:val="24"/>
        </w:rPr>
      </w:pPr>
    </w:p>
    <w:p w:rsidR="004F74F9" w:rsidRPr="005F2F44" w:rsidRDefault="00782488" w:rsidP="005F2F44">
      <w:pPr>
        <w:pStyle w:val="ListParagraph"/>
        <w:numPr>
          <w:ilvl w:val="0"/>
          <w:numId w:val="4"/>
        </w:numPr>
        <w:spacing w:after="0"/>
        <w:jc w:val="both"/>
        <w:rPr>
          <w:sz w:val="24"/>
          <w:szCs w:val="24"/>
        </w:rPr>
      </w:pPr>
      <w:r>
        <w:rPr>
          <w:sz w:val="24"/>
          <w:szCs w:val="24"/>
        </w:rPr>
        <w:t>FACD designated a focal point for AMP, who has been instrumental in the success of the roll-out to donors, and in supporting other FACD staff on issues related to AMP. On the IT side, the recruitment of an IT engineer has not been finalized by MoF in 2011. It is currently planned for the first half of 2012 and will be essential for the sustainability of AMP (server management). Local IT company Yomari has been providing these services in the interim period.</w:t>
      </w:r>
    </w:p>
    <w:p w:rsidR="008E682F" w:rsidRDefault="008E682F" w:rsidP="001D5DB8">
      <w:pPr>
        <w:spacing w:after="0"/>
        <w:jc w:val="both"/>
        <w:rPr>
          <w:color w:val="FF0000"/>
          <w:sz w:val="24"/>
          <w:szCs w:val="24"/>
        </w:rPr>
      </w:pPr>
    </w:p>
    <w:p w:rsidR="00296B74" w:rsidRDefault="00D26059" w:rsidP="001D5DB8">
      <w:pPr>
        <w:spacing w:after="0"/>
        <w:jc w:val="both"/>
        <w:rPr>
          <w:b/>
          <w:sz w:val="24"/>
          <w:szCs w:val="24"/>
        </w:rPr>
      </w:pPr>
      <w:r w:rsidRPr="00D26059">
        <w:rPr>
          <w:b/>
          <w:sz w:val="24"/>
          <w:szCs w:val="24"/>
        </w:rPr>
        <w:t xml:space="preserve">Activity Result 2: </w:t>
      </w:r>
      <w:r w:rsidR="008E682F">
        <w:rPr>
          <w:b/>
          <w:sz w:val="24"/>
          <w:szCs w:val="24"/>
        </w:rPr>
        <w:t xml:space="preserve">Survey on aid effectiveness conducted </w:t>
      </w:r>
      <w:r w:rsidR="004052BA">
        <w:rPr>
          <w:b/>
          <w:sz w:val="24"/>
          <w:szCs w:val="24"/>
        </w:rPr>
        <w:t>and</w:t>
      </w:r>
      <w:r w:rsidR="008E682F">
        <w:rPr>
          <w:b/>
          <w:sz w:val="24"/>
          <w:szCs w:val="24"/>
        </w:rPr>
        <w:t xml:space="preserve"> preparations for the 4</w:t>
      </w:r>
      <w:r w:rsidR="008E682F" w:rsidRPr="008E682F">
        <w:rPr>
          <w:b/>
          <w:sz w:val="24"/>
          <w:szCs w:val="24"/>
          <w:vertAlign w:val="superscript"/>
        </w:rPr>
        <w:t>th</w:t>
      </w:r>
      <w:r w:rsidR="008E682F">
        <w:rPr>
          <w:b/>
          <w:sz w:val="24"/>
          <w:szCs w:val="24"/>
        </w:rPr>
        <w:t xml:space="preserve"> High Level Forum on Aid Effectiveness</w:t>
      </w:r>
    </w:p>
    <w:p w:rsidR="00D26059" w:rsidRDefault="00D26059" w:rsidP="001D5DB8">
      <w:pPr>
        <w:spacing w:after="0"/>
        <w:jc w:val="both"/>
        <w:rPr>
          <w:b/>
          <w:sz w:val="24"/>
          <w:szCs w:val="24"/>
        </w:rPr>
      </w:pPr>
    </w:p>
    <w:p w:rsidR="003E47A1" w:rsidRPr="00B6707D" w:rsidRDefault="0010608B" w:rsidP="00D26059">
      <w:pPr>
        <w:pStyle w:val="ListParagraph"/>
        <w:numPr>
          <w:ilvl w:val="0"/>
          <w:numId w:val="5"/>
        </w:numPr>
        <w:spacing w:after="0"/>
        <w:jc w:val="both"/>
        <w:rPr>
          <w:b/>
          <w:sz w:val="24"/>
          <w:szCs w:val="24"/>
        </w:rPr>
      </w:pPr>
      <w:r w:rsidRPr="00B6707D">
        <w:rPr>
          <w:sz w:val="24"/>
          <w:szCs w:val="24"/>
        </w:rPr>
        <w:t>The 2011 Paris Declaration Monitoring Survey was conducted within the deadlines set by the OECD, with technical and financial support from the project and DFID. The report has been published and disseminated, together with the shorter country chapter produced by the OECD for the 4</w:t>
      </w:r>
      <w:r w:rsidRPr="00B6707D">
        <w:rPr>
          <w:sz w:val="24"/>
          <w:szCs w:val="24"/>
          <w:vertAlign w:val="superscript"/>
        </w:rPr>
        <w:t>th</w:t>
      </w:r>
      <w:r w:rsidRPr="00B6707D">
        <w:rPr>
          <w:sz w:val="24"/>
          <w:szCs w:val="24"/>
        </w:rPr>
        <w:t xml:space="preserve"> High Level Forum on Aid effectiveness.</w:t>
      </w:r>
    </w:p>
    <w:p w:rsidR="00B6707D" w:rsidRDefault="00B6707D" w:rsidP="00B6707D">
      <w:pPr>
        <w:spacing w:after="0"/>
        <w:jc w:val="both"/>
        <w:rPr>
          <w:b/>
          <w:sz w:val="24"/>
          <w:szCs w:val="24"/>
        </w:rPr>
      </w:pPr>
    </w:p>
    <w:p w:rsidR="004929D0" w:rsidRPr="004929D0" w:rsidRDefault="004929D0" w:rsidP="004929D0">
      <w:pPr>
        <w:spacing w:after="0"/>
        <w:ind w:left="360"/>
        <w:jc w:val="both"/>
        <w:rPr>
          <w:b/>
          <w:i/>
          <w:sz w:val="24"/>
          <w:szCs w:val="24"/>
        </w:rPr>
      </w:pPr>
      <w:r>
        <w:rPr>
          <w:b/>
          <w:i/>
          <w:sz w:val="24"/>
          <w:szCs w:val="24"/>
        </w:rPr>
        <w:t>Indicators of the 2011 Paris Declaration Survey</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355"/>
        <w:gridCol w:w="1355"/>
        <w:gridCol w:w="1345"/>
      </w:tblGrid>
      <w:tr w:rsidR="004929D0" w:rsidRPr="001E397C" w:rsidTr="005E0B50">
        <w:trPr>
          <w:trHeight w:val="458"/>
          <w:jc w:val="center"/>
        </w:trPr>
        <w:tc>
          <w:tcPr>
            <w:tcW w:w="5099" w:type="dxa"/>
            <w:shd w:val="clear" w:color="auto" w:fill="C6D9F1" w:themeFill="text2" w:themeFillTint="33"/>
            <w:vAlign w:val="center"/>
          </w:tcPr>
          <w:p w:rsidR="004929D0" w:rsidRPr="004929D0" w:rsidRDefault="004929D0" w:rsidP="004929D0">
            <w:pPr>
              <w:spacing w:after="0"/>
              <w:jc w:val="center"/>
              <w:rPr>
                <w:rFonts w:cs="Arial"/>
                <w:b/>
                <w:color w:val="000000"/>
              </w:rPr>
            </w:pPr>
            <w:r w:rsidRPr="004929D0">
              <w:rPr>
                <w:rFonts w:cs="Arial"/>
                <w:b/>
                <w:color w:val="000000"/>
              </w:rPr>
              <w:t>Indicators</w:t>
            </w:r>
          </w:p>
        </w:tc>
        <w:tc>
          <w:tcPr>
            <w:tcW w:w="1440" w:type="dxa"/>
            <w:shd w:val="clear" w:color="auto" w:fill="C6D9F1" w:themeFill="text2" w:themeFillTint="33"/>
            <w:vAlign w:val="center"/>
          </w:tcPr>
          <w:p w:rsidR="004929D0" w:rsidRPr="004929D0" w:rsidRDefault="004929D0" w:rsidP="005E0B50">
            <w:pPr>
              <w:spacing w:after="0" w:line="240" w:lineRule="auto"/>
              <w:jc w:val="center"/>
              <w:rPr>
                <w:rFonts w:cs="Arial"/>
                <w:b/>
                <w:color w:val="000000"/>
              </w:rPr>
            </w:pPr>
            <w:r w:rsidRPr="004929D0">
              <w:rPr>
                <w:rFonts w:cs="Arial"/>
                <w:b/>
                <w:color w:val="000000"/>
              </w:rPr>
              <w:t>2008</w:t>
            </w:r>
          </w:p>
          <w:p w:rsidR="004929D0" w:rsidRPr="004929D0" w:rsidRDefault="004929D0" w:rsidP="005E0B50">
            <w:pPr>
              <w:spacing w:after="0" w:line="240" w:lineRule="auto"/>
              <w:jc w:val="center"/>
              <w:rPr>
                <w:rFonts w:cs="Arial"/>
                <w:b/>
                <w:color w:val="000000"/>
              </w:rPr>
            </w:pPr>
            <w:r w:rsidRPr="004929D0">
              <w:rPr>
                <w:rFonts w:cs="Arial"/>
                <w:b/>
                <w:color w:val="000000"/>
              </w:rPr>
              <w:t>Results</w:t>
            </w:r>
          </w:p>
        </w:tc>
        <w:tc>
          <w:tcPr>
            <w:tcW w:w="1440" w:type="dxa"/>
            <w:shd w:val="clear" w:color="auto" w:fill="C6D9F1" w:themeFill="text2" w:themeFillTint="33"/>
            <w:vAlign w:val="center"/>
          </w:tcPr>
          <w:p w:rsidR="004929D0" w:rsidRPr="004929D0" w:rsidRDefault="004929D0" w:rsidP="005E0B50">
            <w:pPr>
              <w:spacing w:after="0" w:line="240" w:lineRule="auto"/>
              <w:jc w:val="center"/>
              <w:rPr>
                <w:rFonts w:cs="Arial"/>
                <w:b/>
                <w:color w:val="000000"/>
              </w:rPr>
            </w:pPr>
            <w:r w:rsidRPr="004929D0">
              <w:rPr>
                <w:rFonts w:cs="Arial"/>
                <w:b/>
                <w:color w:val="000000"/>
              </w:rPr>
              <w:t>2011</w:t>
            </w:r>
          </w:p>
          <w:p w:rsidR="004929D0" w:rsidRPr="004929D0" w:rsidRDefault="004929D0" w:rsidP="005E0B50">
            <w:pPr>
              <w:spacing w:after="0" w:line="240" w:lineRule="auto"/>
              <w:jc w:val="center"/>
              <w:rPr>
                <w:rFonts w:cs="Arial"/>
                <w:b/>
                <w:color w:val="000000"/>
              </w:rPr>
            </w:pPr>
            <w:r w:rsidRPr="004929D0">
              <w:rPr>
                <w:rFonts w:cs="Arial"/>
                <w:b/>
                <w:color w:val="000000"/>
              </w:rPr>
              <w:t>Results</w:t>
            </w:r>
          </w:p>
        </w:tc>
        <w:tc>
          <w:tcPr>
            <w:tcW w:w="1440" w:type="dxa"/>
            <w:shd w:val="clear" w:color="auto" w:fill="C6D9F1" w:themeFill="text2" w:themeFillTint="33"/>
            <w:vAlign w:val="center"/>
          </w:tcPr>
          <w:p w:rsidR="004929D0" w:rsidRPr="004929D0" w:rsidRDefault="004929D0" w:rsidP="005E0B50">
            <w:pPr>
              <w:spacing w:after="0" w:line="240" w:lineRule="auto"/>
              <w:jc w:val="center"/>
              <w:rPr>
                <w:rFonts w:cs="Arial"/>
                <w:b/>
                <w:color w:val="000000"/>
              </w:rPr>
            </w:pPr>
            <w:r w:rsidRPr="004929D0">
              <w:rPr>
                <w:rFonts w:cs="Arial"/>
                <w:b/>
                <w:color w:val="000000"/>
              </w:rPr>
              <w:t>OECD Target 2010</w:t>
            </w:r>
          </w:p>
        </w:tc>
      </w:tr>
      <w:tr w:rsidR="004929D0" w:rsidRPr="001E397C" w:rsidTr="004929D0">
        <w:trPr>
          <w:jc w:val="center"/>
        </w:trPr>
        <w:tc>
          <w:tcPr>
            <w:tcW w:w="5099" w:type="dxa"/>
            <w:vAlign w:val="bottom"/>
          </w:tcPr>
          <w:p w:rsidR="004929D0" w:rsidRPr="004929D0" w:rsidRDefault="004929D0" w:rsidP="004929D0">
            <w:pPr>
              <w:spacing w:after="0"/>
              <w:jc w:val="both"/>
              <w:rPr>
                <w:rFonts w:cs="Arial"/>
                <w:color w:val="000000"/>
              </w:rPr>
            </w:pPr>
            <w:r>
              <w:rPr>
                <w:rFonts w:cs="Arial"/>
                <w:color w:val="000000"/>
              </w:rPr>
              <w:t>1.Operational development strategies</w:t>
            </w:r>
          </w:p>
        </w:tc>
        <w:tc>
          <w:tcPr>
            <w:tcW w:w="1440" w:type="dxa"/>
            <w:vAlign w:val="center"/>
          </w:tcPr>
          <w:p w:rsidR="004929D0" w:rsidRPr="004929D0" w:rsidRDefault="004929D0" w:rsidP="004929D0">
            <w:pPr>
              <w:spacing w:after="0"/>
              <w:jc w:val="center"/>
              <w:rPr>
                <w:rFonts w:cs="Arial"/>
                <w:color w:val="000000"/>
              </w:rPr>
            </w:pPr>
            <w:r>
              <w:rPr>
                <w:rFonts w:cs="Arial"/>
                <w:color w:val="000000"/>
              </w:rPr>
              <w:t>C</w:t>
            </w:r>
          </w:p>
        </w:tc>
        <w:tc>
          <w:tcPr>
            <w:tcW w:w="1440" w:type="dxa"/>
            <w:vAlign w:val="center"/>
          </w:tcPr>
          <w:p w:rsidR="004929D0" w:rsidRPr="004929D0" w:rsidRDefault="004929D0" w:rsidP="004929D0">
            <w:pPr>
              <w:spacing w:after="0"/>
              <w:jc w:val="center"/>
              <w:rPr>
                <w:rFonts w:cs="Arial"/>
                <w:color w:val="000000"/>
              </w:rPr>
            </w:pPr>
            <w:r>
              <w:rPr>
                <w:rFonts w:cs="Arial"/>
                <w:color w:val="000000"/>
              </w:rPr>
              <w:t>D</w:t>
            </w:r>
          </w:p>
        </w:tc>
        <w:tc>
          <w:tcPr>
            <w:tcW w:w="1440" w:type="dxa"/>
            <w:vAlign w:val="center"/>
          </w:tcPr>
          <w:p w:rsidR="004929D0" w:rsidRPr="004929D0" w:rsidRDefault="004929D0" w:rsidP="004929D0">
            <w:pPr>
              <w:spacing w:after="0"/>
              <w:jc w:val="center"/>
              <w:rPr>
                <w:rFonts w:cs="Arial"/>
                <w:color w:val="000000"/>
              </w:rPr>
            </w:pPr>
            <w:r>
              <w:rPr>
                <w:rFonts w:cs="Arial"/>
                <w:color w:val="000000"/>
              </w:rPr>
              <w:t>B or A</w:t>
            </w:r>
          </w:p>
        </w:tc>
      </w:tr>
      <w:tr w:rsidR="004929D0" w:rsidRPr="001E397C" w:rsidTr="004929D0">
        <w:trPr>
          <w:jc w:val="center"/>
        </w:trPr>
        <w:tc>
          <w:tcPr>
            <w:tcW w:w="5099" w:type="dxa"/>
            <w:vAlign w:val="bottom"/>
          </w:tcPr>
          <w:p w:rsidR="004929D0" w:rsidRPr="004929D0" w:rsidRDefault="004929D0" w:rsidP="004929D0">
            <w:pPr>
              <w:spacing w:after="0"/>
              <w:jc w:val="both"/>
              <w:rPr>
                <w:rFonts w:cs="Arial"/>
                <w:color w:val="000000"/>
              </w:rPr>
            </w:pPr>
            <w:r>
              <w:rPr>
                <w:rFonts w:cs="Arial"/>
                <w:color w:val="000000"/>
              </w:rPr>
              <w:t>2.Reliable PFM systems</w:t>
            </w:r>
          </w:p>
        </w:tc>
        <w:tc>
          <w:tcPr>
            <w:tcW w:w="1440" w:type="dxa"/>
            <w:vAlign w:val="center"/>
          </w:tcPr>
          <w:p w:rsidR="004929D0" w:rsidRPr="004929D0" w:rsidRDefault="004929D0" w:rsidP="004929D0">
            <w:pPr>
              <w:spacing w:after="0"/>
              <w:jc w:val="center"/>
              <w:rPr>
                <w:rFonts w:cs="Arial"/>
                <w:color w:val="000000"/>
              </w:rPr>
            </w:pPr>
            <w:r>
              <w:rPr>
                <w:rFonts w:cs="Arial"/>
                <w:color w:val="000000"/>
              </w:rPr>
              <w:t>3.5</w:t>
            </w:r>
          </w:p>
        </w:tc>
        <w:tc>
          <w:tcPr>
            <w:tcW w:w="1440" w:type="dxa"/>
            <w:vAlign w:val="center"/>
          </w:tcPr>
          <w:p w:rsidR="004929D0" w:rsidRPr="004929D0" w:rsidRDefault="004929D0" w:rsidP="004929D0">
            <w:pPr>
              <w:spacing w:after="0"/>
              <w:jc w:val="center"/>
              <w:rPr>
                <w:rFonts w:cs="Arial"/>
                <w:color w:val="000000"/>
              </w:rPr>
            </w:pPr>
            <w:r>
              <w:rPr>
                <w:rFonts w:cs="Arial"/>
                <w:color w:val="000000"/>
              </w:rPr>
              <w:t>2.5</w:t>
            </w:r>
          </w:p>
        </w:tc>
        <w:tc>
          <w:tcPr>
            <w:tcW w:w="1440" w:type="dxa"/>
            <w:vAlign w:val="center"/>
          </w:tcPr>
          <w:p w:rsidR="004929D0" w:rsidRPr="004929D0" w:rsidRDefault="004929D0" w:rsidP="004929D0">
            <w:pPr>
              <w:spacing w:after="0"/>
              <w:jc w:val="center"/>
              <w:rPr>
                <w:rFonts w:cs="Arial"/>
                <w:color w:val="000000"/>
              </w:rPr>
            </w:pPr>
            <w:r>
              <w:rPr>
                <w:rFonts w:cs="Arial"/>
                <w:color w:val="000000"/>
              </w:rPr>
              <w:t>4</w:t>
            </w:r>
          </w:p>
        </w:tc>
      </w:tr>
      <w:tr w:rsidR="004929D0" w:rsidRPr="001E397C" w:rsidTr="004929D0">
        <w:trPr>
          <w:jc w:val="center"/>
        </w:trPr>
        <w:tc>
          <w:tcPr>
            <w:tcW w:w="5099" w:type="dxa"/>
            <w:vAlign w:val="bottom"/>
          </w:tcPr>
          <w:p w:rsidR="004929D0" w:rsidRPr="004929D0" w:rsidRDefault="004929D0" w:rsidP="004929D0">
            <w:pPr>
              <w:spacing w:after="0"/>
              <w:jc w:val="both"/>
              <w:rPr>
                <w:rFonts w:cs="Arial"/>
                <w:color w:val="000000"/>
              </w:rPr>
            </w:pPr>
            <w:r>
              <w:rPr>
                <w:rFonts w:cs="Arial"/>
                <w:color w:val="000000"/>
              </w:rPr>
              <w:t>3.</w:t>
            </w:r>
            <w:r w:rsidRPr="004929D0">
              <w:rPr>
                <w:rFonts w:cs="Arial"/>
                <w:color w:val="000000"/>
              </w:rPr>
              <w:t>Aid on Budget (average per donor)</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46%</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58%</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85%</w:t>
            </w:r>
          </w:p>
        </w:tc>
      </w:tr>
      <w:tr w:rsidR="004929D0" w:rsidRPr="001E397C" w:rsidTr="004929D0">
        <w:trPr>
          <w:jc w:val="center"/>
        </w:trPr>
        <w:tc>
          <w:tcPr>
            <w:tcW w:w="5099" w:type="dxa"/>
            <w:vAlign w:val="bottom"/>
          </w:tcPr>
          <w:p w:rsidR="004929D0" w:rsidRPr="004929D0" w:rsidRDefault="004929D0" w:rsidP="004929D0">
            <w:pPr>
              <w:spacing w:after="0"/>
              <w:jc w:val="both"/>
              <w:rPr>
                <w:rFonts w:cs="Arial"/>
                <w:color w:val="000000"/>
              </w:rPr>
            </w:pPr>
            <w:r>
              <w:rPr>
                <w:rFonts w:cs="Arial"/>
                <w:color w:val="000000"/>
              </w:rPr>
              <w:t>4.</w:t>
            </w:r>
            <w:r w:rsidRPr="004929D0">
              <w:rPr>
                <w:rFonts w:cs="Arial"/>
                <w:color w:val="000000"/>
              </w:rPr>
              <w:t>Coordinated Technical Assistance</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15%</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48%</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50%</w:t>
            </w:r>
          </w:p>
        </w:tc>
      </w:tr>
      <w:tr w:rsidR="004929D0" w:rsidRPr="001E397C" w:rsidTr="004929D0">
        <w:trPr>
          <w:jc w:val="center"/>
        </w:trPr>
        <w:tc>
          <w:tcPr>
            <w:tcW w:w="5099" w:type="dxa"/>
            <w:vAlign w:val="bottom"/>
          </w:tcPr>
          <w:p w:rsidR="004929D0" w:rsidRPr="004929D0" w:rsidRDefault="004929D0" w:rsidP="004929D0">
            <w:pPr>
              <w:spacing w:after="0"/>
              <w:rPr>
                <w:rFonts w:cs="Arial"/>
                <w:color w:val="000000"/>
              </w:rPr>
            </w:pPr>
            <w:r>
              <w:rPr>
                <w:rFonts w:cs="Arial"/>
                <w:color w:val="000000"/>
              </w:rPr>
              <w:t>5</w:t>
            </w:r>
            <w:r w:rsidR="006B770A">
              <w:rPr>
                <w:rFonts w:cs="Arial"/>
                <w:color w:val="000000"/>
              </w:rPr>
              <w:t>a.</w:t>
            </w:r>
            <w:r w:rsidRPr="004929D0">
              <w:rPr>
                <w:rFonts w:cs="Arial"/>
                <w:color w:val="000000"/>
              </w:rPr>
              <w:t>Using Country Public Financial Management System</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68%</w:t>
            </w:r>
          </w:p>
        </w:tc>
        <w:tc>
          <w:tcPr>
            <w:tcW w:w="1440" w:type="dxa"/>
            <w:vAlign w:val="center"/>
          </w:tcPr>
          <w:p w:rsidR="004929D0" w:rsidRPr="004929D0" w:rsidRDefault="004929D0" w:rsidP="004929D0">
            <w:pPr>
              <w:spacing w:after="0"/>
              <w:jc w:val="center"/>
              <w:rPr>
                <w:rFonts w:cs="Arial"/>
                <w:color w:val="000000"/>
              </w:rPr>
            </w:pPr>
            <w:r>
              <w:rPr>
                <w:rFonts w:cs="Arial"/>
                <w:color w:val="000000"/>
              </w:rPr>
              <w:t>63</w:t>
            </w:r>
            <w:r w:rsidRPr="004929D0">
              <w:rPr>
                <w:rFonts w:cs="Arial"/>
                <w:color w:val="000000"/>
              </w:rPr>
              <w:t>%</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76%</w:t>
            </w:r>
          </w:p>
        </w:tc>
      </w:tr>
      <w:tr w:rsidR="004929D0" w:rsidRPr="001E397C" w:rsidTr="004929D0">
        <w:trPr>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5b.</w:t>
            </w:r>
            <w:r w:rsidR="004929D0" w:rsidRPr="004929D0">
              <w:rPr>
                <w:rFonts w:cs="Arial"/>
                <w:color w:val="000000"/>
              </w:rPr>
              <w:t>Using Country Procurement System</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56%</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35%</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N/A</w:t>
            </w:r>
          </w:p>
        </w:tc>
      </w:tr>
      <w:tr w:rsidR="004929D0" w:rsidRPr="001E397C" w:rsidTr="004929D0">
        <w:trPr>
          <w:jc w:val="center"/>
        </w:trPr>
        <w:tc>
          <w:tcPr>
            <w:tcW w:w="5099" w:type="dxa"/>
            <w:vAlign w:val="bottom"/>
          </w:tcPr>
          <w:p w:rsidR="004929D0" w:rsidRPr="004929D0" w:rsidRDefault="006B770A" w:rsidP="006B770A">
            <w:pPr>
              <w:spacing w:after="0"/>
              <w:jc w:val="both"/>
              <w:rPr>
                <w:rFonts w:cs="Arial"/>
                <w:color w:val="000000"/>
              </w:rPr>
            </w:pPr>
            <w:r>
              <w:rPr>
                <w:rFonts w:cs="Arial"/>
                <w:color w:val="000000"/>
              </w:rPr>
              <w:t>6.</w:t>
            </w:r>
            <w:r w:rsidR="004929D0" w:rsidRPr="004929D0">
              <w:rPr>
                <w:rFonts w:cs="Arial"/>
                <w:color w:val="000000"/>
              </w:rPr>
              <w:t>Parallel Project Implementation Units</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106</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68</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64</w:t>
            </w:r>
          </w:p>
        </w:tc>
      </w:tr>
      <w:tr w:rsidR="005E0B50" w:rsidRPr="001E397C" w:rsidTr="004929D0">
        <w:trPr>
          <w:jc w:val="center"/>
        </w:trPr>
        <w:tc>
          <w:tcPr>
            <w:tcW w:w="5099" w:type="dxa"/>
            <w:vAlign w:val="bottom"/>
          </w:tcPr>
          <w:p w:rsidR="005E0B50" w:rsidRDefault="005E0B50" w:rsidP="006B770A">
            <w:pPr>
              <w:spacing w:after="0"/>
              <w:jc w:val="both"/>
              <w:rPr>
                <w:rFonts w:cs="Arial"/>
                <w:color w:val="000000"/>
              </w:rPr>
            </w:pPr>
            <w:r>
              <w:rPr>
                <w:rFonts w:cs="Arial"/>
                <w:color w:val="000000"/>
              </w:rPr>
              <w:t>7. Untied aid</w:t>
            </w:r>
          </w:p>
        </w:tc>
        <w:tc>
          <w:tcPr>
            <w:tcW w:w="1440" w:type="dxa"/>
            <w:vAlign w:val="center"/>
          </w:tcPr>
          <w:p w:rsidR="005E0B50" w:rsidRPr="004929D0" w:rsidRDefault="005E0B50" w:rsidP="004929D0">
            <w:pPr>
              <w:spacing w:after="0"/>
              <w:jc w:val="center"/>
              <w:rPr>
                <w:rFonts w:cs="Arial"/>
                <w:color w:val="000000"/>
              </w:rPr>
            </w:pPr>
            <w:r>
              <w:rPr>
                <w:rFonts w:cs="Arial"/>
                <w:color w:val="000000"/>
              </w:rPr>
              <w:t>95%</w:t>
            </w:r>
          </w:p>
        </w:tc>
        <w:tc>
          <w:tcPr>
            <w:tcW w:w="1440" w:type="dxa"/>
            <w:vAlign w:val="center"/>
          </w:tcPr>
          <w:p w:rsidR="005E0B50" w:rsidRPr="004929D0" w:rsidRDefault="005E0B50" w:rsidP="004929D0">
            <w:pPr>
              <w:spacing w:after="0"/>
              <w:jc w:val="center"/>
              <w:rPr>
                <w:rFonts w:cs="Arial"/>
                <w:color w:val="000000"/>
              </w:rPr>
            </w:pPr>
            <w:r>
              <w:rPr>
                <w:rFonts w:cs="Arial"/>
                <w:color w:val="000000"/>
              </w:rPr>
              <w:t>96%</w:t>
            </w:r>
          </w:p>
        </w:tc>
        <w:tc>
          <w:tcPr>
            <w:tcW w:w="1440" w:type="dxa"/>
            <w:vAlign w:val="center"/>
          </w:tcPr>
          <w:p w:rsidR="005E0B50" w:rsidRPr="004929D0" w:rsidRDefault="005E0B50" w:rsidP="004929D0">
            <w:pPr>
              <w:spacing w:after="0"/>
              <w:jc w:val="center"/>
              <w:rPr>
                <w:rFonts w:cs="Arial"/>
                <w:color w:val="000000"/>
              </w:rPr>
            </w:pPr>
            <w:r>
              <w:rPr>
                <w:rFonts w:cs="Arial"/>
                <w:color w:val="000000"/>
              </w:rPr>
              <w:t>&gt;96%</w:t>
            </w:r>
          </w:p>
        </w:tc>
      </w:tr>
      <w:tr w:rsidR="004929D0" w:rsidRPr="001E397C" w:rsidTr="004929D0">
        <w:trPr>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8.</w:t>
            </w:r>
            <w:r w:rsidR="004929D0" w:rsidRPr="004929D0">
              <w:rPr>
                <w:rFonts w:cs="Arial"/>
                <w:color w:val="000000"/>
              </w:rPr>
              <w:t>In-year predictability</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47%</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55%</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65%</w:t>
            </w:r>
          </w:p>
        </w:tc>
      </w:tr>
      <w:tr w:rsidR="004929D0" w:rsidRPr="001E397C" w:rsidTr="004929D0">
        <w:trPr>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9.</w:t>
            </w:r>
            <w:r w:rsidR="004929D0" w:rsidRPr="004929D0">
              <w:rPr>
                <w:rFonts w:cs="Arial"/>
                <w:color w:val="000000"/>
              </w:rPr>
              <w:t xml:space="preserve">Programme-based approaches </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23%</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31%</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66%</w:t>
            </w:r>
          </w:p>
        </w:tc>
      </w:tr>
      <w:tr w:rsidR="004929D0" w:rsidRPr="001E397C" w:rsidTr="004929D0">
        <w:trPr>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10a.</w:t>
            </w:r>
            <w:r w:rsidR="004929D0" w:rsidRPr="004929D0">
              <w:rPr>
                <w:rFonts w:cs="Arial"/>
                <w:color w:val="000000"/>
              </w:rPr>
              <w:t>Joint missions</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23%</w:t>
            </w:r>
          </w:p>
        </w:tc>
        <w:tc>
          <w:tcPr>
            <w:tcW w:w="1440" w:type="dxa"/>
            <w:vAlign w:val="center"/>
          </w:tcPr>
          <w:p w:rsidR="004929D0" w:rsidRPr="004929D0" w:rsidRDefault="004929D0" w:rsidP="004929D0">
            <w:pPr>
              <w:spacing w:after="0"/>
              <w:jc w:val="center"/>
              <w:rPr>
                <w:rFonts w:cs="Arial"/>
                <w:color w:val="000000"/>
              </w:rPr>
            </w:pPr>
            <w:r>
              <w:rPr>
                <w:rFonts w:cs="Arial"/>
                <w:color w:val="000000"/>
              </w:rPr>
              <w:t>21</w:t>
            </w:r>
            <w:r w:rsidRPr="004929D0">
              <w:rPr>
                <w:rFonts w:cs="Arial"/>
                <w:color w:val="000000"/>
              </w:rPr>
              <w:t>%</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40%</w:t>
            </w:r>
          </w:p>
        </w:tc>
      </w:tr>
      <w:tr w:rsidR="004929D0" w:rsidRPr="001E397C" w:rsidTr="004929D0">
        <w:trPr>
          <w:trHeight w:val="70"/>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10b.</w:t>
            </w:r>
            <w:r w:rsidR="004929D0" w:rsidRPr="004929D0">
              <w:rPr>
                <w:rFonts w:cs="Arial"/>
                <w:color w:val="000000"/>
              </w:rPr>
              <w:t>Joint country analytic work</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28%</w:t>
            </w:r>
          </w:p>
        </w:tc>
        <w:tc>
          <w:tcPr>
            <w:tcW w:w="1440" w:type="dxa"/>
            <w:vAlign w:val="center"/>
          </w:tcPr>
          <w:p w:rsidR="004929D0" w:rsidRPr="004929D0" w:rsidRDefault="004929D0" w:rsidP="004929D0">
            <w:pPr>
              <w:spacing w:after="0"/>
              <w:jc w:val="center"/>
              <w:rPr>
                <w:rFonts w:cs="Arial"/>
                <w:color w:val="000000"/>
              </w:rPr>
            </w:pPr>
            <w:r>
              <w:rPr>
                <w:rFonts w:cs="Arial"/>
                <w:color w:val="000000"/>
              </w:rPr>
              <w:t>47</w:t>
            </w:r>
            <w:r w:rsidRPr="004929D0">
              <w:rPr>
                <w:rFonts w:cs="Arial"/>
                <w:color w:val="000000"/>
              </w:rPr>
              <w:t>%</w:t>
            </w:r>
          </w:p>
        </w:tc>
        <w:tc>
          <w:tcPr>
            <w:tcW w:w="1440" w:type="dxa"/>
            <w:vAlign w:val="center"/>
          </w:tcPr>
          <w:p w:rsidR="004929D0" w:rsidRPr="004929D0" w:rsidRDefault="004929D0" w:rsidP="004929D0">
            <w:pPr>
              <w:spacing w:after="0"/>
              <w:jc w:val="center"/>
              <w:rPr>
                <w:rFonts w:cs="Arial"/>
                <w:color w:val="000000"/>
              </w:rPr>
            </w:pPr>
            <w:r w:rsidRPr="004929D0">
              <w:rPr>
                <w:rFonts w:cs="Arial"/>
                <w:color w:val="000000"/>
              </w:rPr>
              <w:t>66%</w:t>
            </w:r>
          </w:p>
        </w:tc>
      </w:tr>
      <w:tr w:rsidR="004929D0" w:rsidRPr="001E397C" w:rsidTr="004929D0">
        <w:trPr>
          <w:trHeight w:val="70"/>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11.</w:t>
            </w:r>
            <w:r w:rsidR="004929D0">
              <w:rPr>
                <w:rFonts w:cs="Arial"/>
                <w:color w:val="000000"/>
              </w:rPr>
              <w:t>Results oriented frameworks</w:t>
            </w:r>
          </w:p>
        </w:tc>
        <w:tc>
          <w:tcPr>
            <w:tcW w:w="1440" w:type="dxa"/>
            <w:vAlign w:val="center"/>
          </w:tcPr>
          <w:p w:rsidR="004929D0" w:rsidRPr="004929D0" w:rsidRDefault="004929D0" w:rsidP="004929D0">
            <w:pPr>
              <w:spacing w:after="0"/>
              <w:jc w:val="center"/>
              <w:rPr>
                <w:rFonts w:cs="Arial"/>
                <w:color w:val="000000"/>
              </w:rPr>
            </w:pPr>
            <w:r>
              <w:rPr>
                <w:rFonts w:cs="Arial"/>
                <w:color w:val="000000"/>
              </w:rPr>
              <w:t>C</w:t>
            </w:r>
          </w:p>
        </w:tc>
        <w:tc>
          <w:tcPr>
            <w:tcW w:w="1440" w:type="dxa"/>
            <w:vAlign w:val="center"/>
          </w:tcPr>
          <w:p w:rsidR="004929D0" w:rsidRPr="004929D0" w:rsidRDefault="004929D0" w:rsidP="004929D0">
            <w:pPr>
              <w:spacing w:after="0"/>
              <w:jc w:val="center"/>
              <w:rPr>
                <w:rFonts w:cs="Arial"/>
                <w:color w:val="000000"/>
              </w:rPr>
            </w:pPr>
            <w:r>
              <w:rPr>
                <w:rFonts w:cs="Arial"/>
                <w:color w:val="000000"/>
              </w:rPr>
              <w:t>B</w:t>
            </w:r>
          </w:p>
        </w:tc>
        <w:tc>
          <w:tcPr>
            <w:tcW w:w="1440" w:type="dxa"/>
            <w:vAlign w:val="center"/>
          </w:tcPr>
          <w:p w:rsidR="004929D0" w:rsidRPr="004929D0" w:rsidRDefault="004929D0" w:rsidP="004929D0">
            <w:pPr>
              <w:spacing w:after="0"/>
              <w:jc w:val="center"/>
              <w:rPr>
                <w:rFonts w:cs="Arial"/>
                <w:color w:val="000000"/>
              </w:rPr>
            </w:pPr>
            <w:r>
              <w:rPr>
                <w:rFonts w:cs="Arial"/>
                <w:color w:val="000000"/>
              </w:rPr>
              <w:t>B or A</w:t>
            </w:r>
          </w:p>
        </w:tc>
      </w:tr>
      <w:tr w:rsidR="004929D0" w:rsidRPr="001E397C" w:rsidTr="004929D0">
        <w:trPr>
          <w:trHeight w:val="70"/>
          <w:jc w:val="center"/>
        </w:trPr>
        <w:tc>
          <w:tcPr>
            <w:tcW w:w="5099" w:type="dxa"/>
            <w:vAlign w:val="bottom"/>
          </w:tcPr>
          <w:p w:rsidR="004929D0" w:rsidRPr="004929D0" w:rsidRDefault="006B770A" w:rsidP="004929D0">
            <w:pPr>
              <w:spacing w:after="0"/>
              <w:jc w:val="both"/>
              <w:rPr>
                <w:rFonts w:cs="Arial"/>
                <w:color w:val="000000"/>
              </w:rPr>
            </w:pPr>
            <w:r>
              <w:rPr>
                <w:rFonts w:cs="Arial"/>
                <w:color w:val="000000"/>
              </w:rPr>
              <w:t>12.</w:t>
            </w:r>
            <w:r w:rsidR="004929D0">
              <w:rPr>
                <w:rFonts w:cs="Arial"/>
                <w:color w:val="000000"/>
              </w:rPr>
              <w:t>Mutual accountability mechanisms</w:t>
            </w:r>
          </w:p>
        </w:tc>
        <w:tc>
          <w:tcPr>
            <w:tcW w:w="1440" w:type="dxa"/>
            <w:vAlign w:val="center"/>
          </w:tcPr>
          <w:p w:rsidR="004929D0" w:rsidRPr="004929D0" w:rsidRDefault="004929D0" w:rsidP="004929D0">
            <w:pPr>
              <w:spacing w:after="0"/>
              <w:jc w:val="center"/>
              <w:rPr>
                <w:rFonts w:cs="Arial"/>
                <w:color w:val="000000"/>
              </w:rPr>
            </w:pPr>
            <w:r>
              <w:rPr>
                <w:rFonts w:cs="Arial"/>
                <w:color w:val="000000"/>
              </w:rPr>
              <w:t>N</w:t>
            </w:r>
          </w:p>
        </w:tc>
        <w:tc>
          <w:tcPr>
            <w:tcW w:w="1440" w:type="dxa"/>
            <w:vAlign w:val="center"/>
          </w:tcPr>
          <w:p w:rsidR="004929D0" w:rsidRPr="004929D0" w:rsidRDefault="004929D0" w:rsidP="004929D0">
            <w:pPr>
              <w:spacing w:after="0"/>
              <w:jc w:val="center"/>
              <w:rPr>
                <w:rFonts w:cs="Arial"/>
                <w:color w:val="000000"/>
              </w:rPr>
            </w:pPr>
            <w:r>
              <w:rPr>
                <w:rFonts w:cs="Arial"/>
                <w:color w:val="000000"/>
              </w:rPr>
              <w:t>Y</w:t>
            </w:r>
          </w:p>
        </w:tc>
        <w:tc>
          <w:tcPr>
            <w:tcW w:w="1440" w:type="dxa"/>
            <w:vAlign w:val="center"/>
          </w:tcPr>
          <w:p w:rsidR="004929D0" w:rsidRPr="004929D0" w:rsidRDefault="004929D0" w:rsidP="004929D0">
            <w:pPr>
              <w:spacing w:after="0"/>
              <w:jc w:val="center"/>
              <w:rPr>
                <w:rFonts w:cs="Arial"/>
                <w:color w:val="000000"/>
              </w:rPr>
            </w:pPr>
            <w:r>
              <w:rPr>
                <w:rFonts w:cs="Arial"/>
                <w:color w:val="000000"/>
              </w:rPr>
              <w:t>Y</w:t>
            </w:r>
          </w:p>
        </w:tc>
      </w:tr>
    </w:tbl>
    <w:p w:rsidR="003E47A1" w:rsidRPr="00B6707D" w:rsidRDefault="003E47A1" w:rsidP="004929D0">
      <w:pPr>
        <w:pStyle w:val="ListParagraph"/>
        <w:spacing w:after="0"/>
        <w:jc w:val="both"/>
        <w:rPr>
          <w:b/>
          <w:sz w:val="24"/>
          <w:szCs w:val="24"/>
        </w:rPr>
      </w:pPr>
    </w:p>
    <w:p w:rsidR="003E47A1" w:rsidRPr="00B6707D" w:rsidRDefault="0010608B" w:rsidP="00B6707D">
      <w:pPr>
        <w:pStyle w:val="ListParagraph"/>
        <w:numPr>
          <w:ilvl w:val="0"/>
          <w:numId w:val="5"/>
        </w:numPr>
        <w:spacing w:after="0"/>
        <w:jc w:val="both"/>
        <w:rPr>
          <w:b/>
          <w:sz w:val="24"/>
          <w:szCs w:val="24"/>
        </w:rPr>
      </w:pPr>
      <w:r w:rsidRPr="00B6707D">
        <w:rPr>
          <w:sz w:val="24"/>
          <w:szCs w:val="24"/>
        </w:rPr>
        <w:t>The project also provided support for the preparation of the Nepal delegation’s interventions in Busan, including the Finance Minister’s remarks on risk-management approaches to development cooperation and the Finance Secretary’s presentation on Nepal experience with Amp and aid transparency.</w:t>
      </w:r>
    </w:p>
    <w:p w:rsidR="00B6707D" w:rsidRPr="00B6707D" w:rsidRDefault="00B6707D" w:rsidP="00B6707D">
      <w:pPr>
        <w:spacing w:after="0"/>
        <w:jc w:val="both"/>
        <w:rPr>
          <w:b/>
          <w:sz w:val="24"/>
          <w:szCs w:val="24"/>
        </w:rPr>
      </w:pPr>
    </w:p>
    <w:p w:rsidR="003E47A1" w:rsidRPr="00B6707D" w:rsidRDefault="003E47A1" w:rsidP="003E47A1">
      <w:pPr>
        <w:pStyle w:val="ListParagraph"/>
        <w:numPr>
          <w:ilvl w:val="0"/>
          <w:numId w:val="5"/>
        </w:numPr>
        <w:spacing w:after="0"/>
        <w:jc w:val="both"/>
        <w:rPr>
          <w:b/>
          <w:sz w:val="24"/>
          <w:szCs w:val="24"/>
        </w:rPr>
      </w:pPr>
      <w:r w:rsidRPr="00B6707D">
        <w:rPr>
          <w:sz w:val="24"/>
          <w:szCs w:val="24"/>
        </w:rPr>
        <w:t>A</w:t>
      </w:r>
      <w:r w:rsidR="0010608B" w:rsidRPr="00B6707D">
        <w:rPr>
          <w:sz w:val="24"/>
          <w:szCs w:val="24"/>
        </w:rPr>
        <w:t>s part of the technical assistance provided for the implementation of the Paris Declaration in Nepal, the project also helped to establish a mutual accountability component under the NPPR mechanism, which for the first time links key donor commitments (on aid transparency, predictability, use of national systems and reduction of parallel implementation units) to related GoN commitments.</w:t>
      </w:r>
    </w:p>
    <w:p w:rsidR="0010608B" w:rsidRPr="00B6707D" w:rsidRDefault="0010608B" w:rsidP="0010608B">
      <w:pPr>
        <w:pStyle w:val="ListParagraph"/>
        <w:rPr>
          <w:sz w:val="24"/>
          <w:szCs w:val="24"/>
        </w:rPr>
      </w:pPr>
    </w:p>
    <w:p w:rsidR="0010608B" w:rsidRPr="00B6707D" w:rsidRDefault="0010608B" w:rsidP="003E47A1">
      <w:pPr>
        <w:pStyle w:val="ListParagraph"/>
        <w:numPr>
          <w:ilvl w:val="0"/>
          <w:numId w:val="5"/>
        </w:numPr>
        <w:spacing w:after="0"/>
        <w:jc w:val="both"/>
        <w:rPr>
          <w:sz w:val="24"/>
          <w:szCs w:val="24"/>
        </w:rPr>
      </w:pPr>
      <w:r w:rsidRPr="00B6707D">
        <w:rPr>
          <w:sz w:val="24"/>
          <w:szCs w:val="24"/>
        </w:rPr>
        <w:t xml:space="preserve">The project provided some inputs for the revision of the Foreign Aid Policy, so that the evolving landscape of international development aid and the recommendations emerging from Busan could </w:t>
      </w:r>
      <w:r w:rsidR="00B6707D" w:rsidRPr="00B6707D">
        <w:rPr>
          <w:sz w:val="24"/>
          <w:szCs w:val="24"/>
        </w:rPr>
        <w:t>be taken into account. The consultation process within Government started in December 2011, with further consultations planned during the first quarter of 2012 with civil society, parliamentarians and donors.</w:t>
      </w:r>
    </w:p>
    <w:p w:rsidR="003E47A1" w:rsidRDefault="003E47A1" w:rsidP="003E47A1">
      <w:pPr>
        <w:spacing w:after="0"/>
        <w:jc w:val="both"/>
        <w:rPr>
          <w:b/>
          <w:sz w:val="24"/>
          <w:szCs w:val="24"/>
        </w:rPr>
      </w:pPr>
    </w:p>
    <w:p w:rsidR="003E47A1" w:rsidRDefault="003E47A1" w:rsidP="003E47A1">
      <w:pPr>
        <w:spacing w:after="0"/>
        <w:jc w:val="both"/>
        <w:rPr>
          <w:b/>
          <w:sz w:val="24"/>
          <w:szCs w:val="24"/>
        </w:rPr>
      </w:pPr>
      <w:r w:rsidRPr="003E47A1">
        <w:rPr>
          <w:b/>
          <w:sz w:val="24"/>
          <w:szCs w:val="24"/>
        </w:rPr>
        <w:t xml:space="preserve">Activity Result 3: Capacity Development </w:t>
      </w:r>
      <w:r w:rsidR="00B6707D">
        <w:rPr>
          <w:b/>
          <w:sz w:val="24"/>
          <w:szCs w:val="24"/>
        </w:rPr>
        <w:t>plan</w:t>
      </w:r>
      <w:r w:rsidRPr="003E47A1">
        <w:rPr>
          <w:b/>
          <w:sz w:val="24"/>
          <w:szCs w:val="24"/>
        </w:rPr>
        <w:t xml:space="preserve"> </w:t>
      </w:r>
      <w:r w:rsidR="00B6707D">
        <w:rPr>
          <w:b/>
          <w:sz w:val="24"/>
          <w:szCs w:val="24"/>
        </w:rPr>
        <w:t>for aid management implemented in line with the work plan</w:t>
      </w:r>
    </w:p>
    <w:p w:rsidR="003E47A1" w:rsidRDefault="003E47A1" w:rsidP="003E47A1">
      <w:pPr>
        <w:spacing w:after="0"/>
        <w:jc w:val="both"/>
        <w:rPr>
          <w:b/>
          <w:sz w:val="24"/>
          <w:szCs w:val="24"/>
        </w:rPr>
      </w:pPr>
    </w:p>
    <w:p w:rsidR="003E47A1" w:rsidRDefault="00B6707D" w:rsidP="003E47A1">
      <w:pPr>
        <w:pStyle w:val="ListParagraph"/>
        <w:numPr>
          <w:ilvl w:val="0"/>
          <w:numId w:val="6"/>
        </w:numPr>
        <w:spacing w:after="0"/>
        <w:jc w:val="both"/>
        <w:rPr>
          <w:sz w:val="24"/>
          <w:szCs w:val="24"/>
        </w:rPr>
      </w:pPr>
      <w:r>
        <w:rPr>
          <w:sz w:val="24"/>
          <w:szCs w:val="24"/>
        </w:rPr>
        <w:t xml:space="preserve">The trainings planned in the 2011 work plan, in line with the 2010 capacity assessment, have all been implemented as planned with the exception of the training for senior officials, which was linked to the adoption of the new Foreign Aid Policy. Efforts have been made to select people in appropriate positions for the trainings, and not subject to imminent transfers. Back to office action plans have been systematically developed, with random checks conducted by the project on the status of implementation. A total of </w:t>
      </w:r>
      <w:r w:rsidR="00711828">
        <w:rPr>
          <w:sz w:val="24"/>
          <w:szCs w:val="24"/>
        </w:rPr>
        <w:t>147 staff</w:t>
      </w:r>
      <w:r>
        <w:rPr>
          <w:sz w:val="24"/>
          <w:szCs w:val="24"/>
        </w:rPr>
        <w:t xml:space="preserve"> have been trained in 2011, at the Under Secretary and Section Officer levels.</w:t>
      </w:r>
      <w:r w:rsidR="001D5F92">
        <w:rPr>
          <w:sz w:val="24"/>
          <w:szCs w:val="24"/>
        </w:rPr>
        <w:t xml:space="preserve"> The overall assessment of the trainings was positive.</w:t>
      </w:r>
    </w:p>
    <w:p w:rsidR="00295E0C" w:rsidRDefault="00295E0C" w:rsidP="00295E0C">
      <w:pPr>
        <w:pStyle w:val="ListParagraph"/>
        <w:spacing w:after="0"/>
        <w:jc w:val="both"/>
        <w:rPr>
          <w:sz w:val="24"/>
          <w:szCs w:val="24"/>
        </w:rPr>
      </w:pPr>
    </w:p>
    <w:p w:rsidR="00295E0C" w:rsidRDefault="00295E0C" w:rsidP="00295E0C">
      <w:pPr>
        <w:pStyle w:val="ListParagraph"/>
        <w:numPr>
          <w:ilvl w:val="0"/>
          <w:numId w:val="6"/>
        </w:numPr>
        <w:spacing w:after="0"/>
        <w:jc w:val="both"/>
        <w:rPr>
          <w:sz w:val="24"/>
          <w:szCs w:val="24"/>
        </w:rPr>
      </w:pPr>
      <w:r>
        <w:rPr>
          <w:sz w:val="24"/>
          <w:szCs w:val="24"/>
        </w:rPr>
        <w:t>Long Term Agreements have been put in place with three local institutions on the basis of competitive bidding, for the delivery of the trainings included in the program. The following subjects were covered in 2011: Negotiation and consensus building skills (for Under Secretaries), Sector Wide Approaches, Technical appraisal of projects from an aid effectiveness perspective, Facilitation skills and managing meetings, Advanced English language course (applied to GoN business), exchange with a best practice country on AMP, federal aid coordination mechanisms and donor coordination mechanisms (Tanzania).</w:t>
      </w:r>
    </w:p>
    <w:p w:rsidR="005E0B50" w:rsidRDefault="005E0B50" w:rsidP="005E0B50">
      <w:pPr>
        <w:pStyle w:val="ListParagraph"/>
        <w:spacing w:after="0"/>
        <w:jc w:val="both"/>
        <w:rPr>
          <w:sz w:val="24"/>
          <w:szCs w:val="24"/>
        </w:rPr>
      </w:pPr>
    </w:p>
    <w:p w:rsidR="00B6707D" w:rsidRDefault="00F22AF6" w:rsidP="00B6707D">
      <w:pPr>
        <w:pStyle w:val="ListParagraph"/>
        <w:spacing w:after="0"/>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4231640</wp:posOffset>
                </wp:positionH>
                <wp:positionV relativeFrom="paragraph">
                  <wp:posOffset>9525</wp:posOffset>
                </wp:positionV>
                <wp:extent cx="1688465" cy="1718310"/>
                <wp:effectExtent l="0" t="4445"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E0C" w:rsidRDefault="00295E0C">
                            <w:pPr>
                              <w:rPr>
                                <w:i/>
                              </w:rPr>
                            </w:pPr>
                            <w:r w:rsidRPr="00295E0C">
                              <w:rPr>
                                <w:i/>
                              </w:rPr>
                              <w:t xml:space="preserve">Under Secretaries from Ministries of Finance, Local Development, Health and Education </w:t>
                            </w:r>
                            <w:r>
                              <w:rPr>
                                <w:i/>
                              </w:rPr>
                              <w:t>practic</w:t>
                            </w:r>
                            <w:r w:rsidRPr="00295E0C">
                              <w:rPr>
                                <w:i/>
                              </w:rPr>
                              <w:t>ing their negotiation skills</w:t>
                            </w:r>
                          </w:p>
                          <w:p w:rsidR="00295E0C" w:rsidRPr="00295E0C" w:rsidRDefault="00295E0C">
                            <w:pPr>
                              <w:rPr>
                                <w:i/>
                              </w:rPr>
                            </w:pPr>
                            <w:r>
                              <w:rPr>
                                <w:i/>
                              </w:rPr>
                              <w:t>(</w:t>
                            </w:r>
                            <w:r w:rsidRPr="00295E0C">
                              <w:rPr>
                                <w:i/>
                              </w:rPr>
                              <w:t>August 2011</w:t>
                            </w:r>
                            <w:r>
                              <w:rPr>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2pt;margin-top:.75pt;width:132.95pt;height:135.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" stroked="f">
                <v:textbox style="mso-fit-shape-to-text:t">
                  <w:txbxContent>
                    <w:p w:rsidR="00295E0C" w:rsidRDefault="00295E0C">
                      <w:pPr>
                        <w:rPr>
                          <w:i/>
                        </w:rPr>
                      </w:pPr>
                      <w:r w:rsidRPr="00295E0C">
                        <w:rPr>
                          <w:i/>
                        </w:rPr>
                        <w:t xml:space="preserve">Under Secretaries from Ministries of Finance, Local Development, Health and Education </w:t>
                      </w:r>
                      <w:r>
                        <w:rPr>
                          <w:i/>
                        </w:rPr>
                        <w:t>practic</w:t>
                      </w:r>
                      <w:r w:rsidRPr="00295E0C">
                        <w:rPr>
                          <w:i/>
                        </w:rPr>
                        <w:t>ing their negotiation skills</w:t>
                      </w:r>
                    </w:p>
                    <w:p w:rsidR="00295E0C" w:rsidRPr="00295E0C" w:rsidRDefault="00295E0C">
                      <w:pPr>
                        <w:rPr>
                          <w:i/>
                        </w:rPr>
                      </w:pPr>
                      <w:r>
                        <w:rPr>
                          <w:i/>
                        </w:rPr>
                        <w:t>(</w:t>
                      </w:r>
                      <w:r w:rsidRPr="00295E0C">
                        <w:rPr>
                          <w:i/>
                        </w:rPr>
                        <w:t>August 2011</w:t>
                      </w:r>
                      <w:r>
                        <w:rPr>
                          <w:i/>
                        </w:rPr>
                        <w:t>)</w:t>
                      </w:r>
                    </w:p>
                  </w:txbxContent>
                </v:textbox>
              </v:shape>
            </w:pict>
          </mc:Fallback>
        </mc:AlternateContent>
      </w:r>
      <w:r w:rsidR="00295E0C">
        <w:rPr>
          <w:noProof/>
          <w:color w:val="FF0000"/>
          <w:sz w:val="24"/>
          <w:szCs w:val="24"/>
        </w:rPr>
        <w:drawing>
          <wp:inline distT="0" distB="0" distL="0" distR="0">
            <wp:extent cx="3543300" cy="2657475"/>
            <wp:effectExtent l="19050" t="0" r="0" b="0"/>
            <wp:docPr id="1" name="Picture 1" descr="E:\New Folder\DSC05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DSC05060.JPG"/>
                    <pic:cNvPicPr>
                      <a:picLocks noChangeAspect="1" noChangeArrowheads="1"/>
                    </pic:cNvPicPr>
                  </pic:nvPicPr>
                  <pic:blipFill>
                    <a:blip r:embed="rId11" cstate="print"/>
                    <a:srcRect/>
                    <a:stretch>
                      <a:fillRect/>
                    </a:stretch>
                  </pic:blipFill>
                  <pic:spPr bwMode="auto">
                    <a:xfrm>
                      <a:off x="0" y="0"/>
                      <a:ext cx="3543300" cy="2657475"/>
                    </a:xfrm>
                    <a:prstGeom prst="rect">
                      <a:avLst/>
                    </a:prstGeom>
                    <a:noFill/>
                    <a:ln w="9525">
                      <a:noFill/>
                      <a:miter lim="800000"/>
                      <a:headEnd/>
                      <a:tailEnd/>
                    </a:ln>
                  </pic:spPr>
                </pic:pic>
              </a:graphicData>
            </a:graphic>
          </wp:inline>
        </w:drawing>
      </w:r>
    </w:p>
    <w:p w:rsidR="00C15CBA" w:rsidRPr="005E0B50" w:rsidRDefault="00C15CBA" w:rsidP="005E0B50">
      <w:pPr>
        <w:spacing w:after="0"/>
        <w:jc w:val="both"/>
        <w:rPr>
          <w:i/>
          <w:sz w:val="24"/>
          <w:szCs w:val="24"/>
        </w:rPr>
      </w:pPr>
    </w:p>
    <w:p w:rsidR="001D5F92" w:rsidRDefault="00711828" w:rsidP="001D5F92">
      <w:pPr>
        <w:pStyle w:val="ListParagraph"/>
        <w:numPr>
          <w:ilvl w:val="0"/>
          <w:numId w:val="6"/>
        </w:numPr>
        <w:spacing w:after="0"/>
        <w:jc w:val="both"/>
        <w:rPr>
          <w:sz w:val="24"/>
          <w:szCs w:val="24"/>
        </w:rPr>
      </w:pPr>
      <w:r>
        <w:rPr>
          <w:sz w:val="24"/>
          <w:szCs w:val="24"/>
        </w:rPr>
        <w:t>While the focus was on the ministries who were part of the 2010 capacity assessment, the trainings were also designed to facilitate exchange of experience between these – generally more advanced – ministries and some ministries which are expected to receive significant amounts of aid (and climate finance) in the near future</w:t>
      </w:r>
      <w:r w:rsidR="005E6692">
        <w:rPr>
          <w:sz w:val="24"/>
          <w:szCs w:val="24"/>
        </w:rPr>
        <w:t>, and who do not have easy access to aid effectiveness trainings.</w:t>
      </w:r>
    </w:p>
    <w:p w:rsidR="005E6692" w:rsidRDefault="005E6692" w:rsidP="005E6692">
      <w:pPr>
        <w:pStyle w:val="ListParagraph"/>
        <w:spacing w:after="0"/>
        <w:jc w:val="both"/>
        <w:rPr>
          <w:sz w:val="24"/>
          <w:szCs w:val="24"/>
        </w:rPr>
      </w:pPr>
    </w:p>
    <w:p w:rsidR="005E6692" w:rsidRDefault="005E6692" w:rsidP="001D5F92">
      <w:pPr>
        <w:pStyle w:val="ListParagraph"/>
        <w:numPr>
          <w:ilvl w:val="0"/>
          <w:numId w:val="6"/>
        </w:numPr>
        <w:spacing w:after="0"/>
        <w:jc w:val="both"/>
        <w:rPr>
          <w:sz w:val="24"/>
          <w:szCs w:val="24"/>
        </w:rPr>
      </w:pPr>
      <w:r>
        <w:rPr>
          <w:sz w:val="24"/>
          <w:szCs w:val="24"/>
        </w:rPr>
        <w:t xml:space="preserve">An exchange with Tanzania was conducted in December 2011 to look into the following issues: 1) AMP implementation – in particular experience with donor reporting; 2) donor coordination mechanisms (example of the Tanzania </w:t>
      </w:r>
      <w:r w:rsidR="00917612">
        <w:rPr>
          <w:sz w:val="24"/>
          <w:szCs w:val="24"/>
        </w:rPr>
        <w:t>J</w:t>
      </w:r>
      <w:r>
        <w:rPr>
          <w:sz w:val="24"/>
          <w:szCs w:val="24"/>
        </w:rPr>
        <w:t>oint Assistance Strategy) and 3) policies and practices for aid management in a federal set-up (example of Tanzania/ Zanzibar).</w:t>
      </w:r>
    </w:p>
    <w:p w:rsidR="002856A0" w:rsidRDefault="00CA033A" w:rsidP="001D5F92">
      <w:pPr>
        <w:pStyle w:val="ListParagraph"/>
        <w:spacing w:after="0"/>
        <w:jc w:val="both"/>
        <w:rPr>
          <w:sz w:val="24"/>
          <w:szCs w:val="24"/>
        </w:rPr>
      </w:pPr>
      <w:r>
        <w:rPr>
          <w:sz w:val="24"/>
          <w:szCs w:val="24"/>
        </w:rPr>
        <w:t xml:space="preserve"> </w:t>
      </w:r>
    </w:p>
    <w:p w:rsidR="00BF6A88" w:rsidRDefault="00BF6A88">
      <w:pPr>
        <w:rPr>
          <w:b/>
          <w:sz w:val="24"/>
          <w:szCs w:val="24"/>
        </w:rPr>
      </w:pPr>
      <w:r w:rsidRPr="00BF6A88">
        <w:rPr>
          <w:b/>
          <w:sz w:val="24"/>
          <w:szCs w:val="24"/>
        </w:rPr>
        <w:t>Programme support</w:t>
      </w:r>
    </w:p>
    <w:p w:rsidR="00B90831" w:rsidRDefault="008939E0" w:rsidP="00C31B83">
      <w:pPr>
        <w:jc w:val="both"/>
        <w:rPr>
          <w:sz w:val="24"/>
          <w:szCs w:val="24"/>
        </w:rPr>
      </w:pPr>
      <w:r w:rsidRPr="008939E0">
        <w:rPr>
          <w:sz w:val="24"/>
          <w:szCs w:val="24"/>
        </w:rPr>
        <w:t xml:space="preserve">The project </w:t>
      </w:r>
      <w:r w:rsidR="00BF6A88" w:rsidRPr="008939E0">
        <w:rPr>
          <w:sz w:val="24"/>
          <w:szCs w:val="24"/>
        </w:rPr>
        <w:t>team</w:t>
      </w:r>
      <w:r w:rsidRPr="008939E0">
        <w:rPr>
          <w:sz w:val="24"/>
          <w:szCs w:val="24"/>
        </w:rPr>
        <w:t xml:space="preserve"> </w:t>
      </w:r>
      <w:r w:rsidR="00B90831">
        <w:rPr>
          <w:sz w:val="24"/>
          <w:szCs w:val="24"/>
        </w:rPr>
        <w:t>saw some changes in 2011, with the Administrative and Financial Assistant leaving for a more senior position with UNDP/LGCDP. He was replaced by Mr Ajaya Hamal. The National Project Officer Mr Kuldip Poudel resigned in November 2011 to take up a new position with an international NGO. He has not been replaced to date but the project has hired a consultant to support the Foreign Aid Policy consultation process</w:t>
      </w:r>
      <w:r w:rsidR="00BF6A88" w:rsidRPr="008939E0">
        <w:rPr>
          <w:sz w:val="24"/>
          <w:szCs w:val="24"/>
        </w:rPr>
        <w:t>.</w:t>
      </w:r>
    </w:p>
    <w:p w:rsidR="00B90831" w:rsidRDefault="00B90831" w:rsidP="00C31B83">
      <w:pPr>
        <w:jc w:val="both"/>
        <w:rPr>
          <w:sz w:val="24"/>
          <w:szCs w:val="24"/>
        </w:rPr>
      </w:pPr>
      <w:r>
        <w:rPr>
          <w:sz w:val="24"/>
          <w:szCs w:val="24"/>
        </w:rPr>
        <w:t>The team is based in Ministry of Finance and working closely with FACD management and staff to achieve the objectives set for the project.</w:t>
      </w:r>
    </w:p>
    <w:p w:rsidR="00295E0C" w:rsidRPr="00B90831" w:rsidRDefault="00295E0C" w:rsidP="00C31B83">
      <w:pPr>
        <w:jc w:val="both"/>
        <w:rPr>
          <w:sz w:val="24"/>
          <w:szCs w:val="24"/>
        </w:rPr>
      </w:pPr>
    </w:p>
    <w:p w:rsidR="00CA50E8" w:rsidRPr="00CA50E8" w:rsidRDefault="00CA50E8" w:rsidP="00CA50E8">
      <w:pPr>
        <w:pStyle w:val="ListParagraph"/>
        <w:numPr>
          <w:ilvl w:val="0"/>
          <w:numId w:val="2"/>
        </w:numPr>
        <w:spacing w:after="0"/>
        <w:jc w:val="both"/>
        <w:rPr>
          <w:b/>
          <w:sz w:val="28"/>
          <w:szCs w:val="28"/>
        </w:rPr>
      </w:pPr>
      <w:r w:rsidRPr="00CA50E8">
        <w:rPr>
          <w:b/>
          <w:sz w:val="28"/>
          <w:szCs w:val="28"/>
        </w:rPr>
        <w:lastRenderedPageBreak/>
        <w:t>Financial implementation</w:t>
      </w:r>
    </w:p>
    <w:p w:rsidR="00CA50E8" w:rsidRDefault="00CA50E8" w:rsidP="00CA50E8">
      <w:pPr>
        <w:spacing w:after="0"/>
        <w:jc w:val="both"/>
        <w:rPr>
          <w:b/>
          <w:sz w:val="24"/>
          <w:szCs w:val="24"/>
        </w:rPr>
      </w:pPr>
    </w:p>
    <w:p w:rsidR="000D7053" w:rsidRPr="00477473" w:rsidRDefault="00A54B9C" w:rsidP="00CA50E8">
      <w:pPr>
        <w:spacing w:after="0"/>
        <w:jc w:val="both"/>
        <w:rPr>
          <w:b/>
          <w:sz w:val="24"/>
          <w:szCs w:val="24"/>
        </w:rPr>
      </w:pPr>
      <w:r w:rsidRPr="00477473">
        <w:rPr>
          <w:b/>
          <w:sz w:val="24"/>
          <w:szCs w:val="24"/>
        </w:rPr>
        <w:t xml:space="preserve">Financial overview of the project </w:t>
      </w:r>
      <w:r w:rsidR="002A2762" w:rsidRPr="00477473">
        <w:rPr>
          <w:b/>
          <w:sz w:val="24"/>
          <w:szCs w:val="24"/>
        </w:rPr>
        <w:t>(USD</w:t>
      </w:r>
      <w:r w:rsidR="000D7053" w:rsidRPr="00477473">
        <w:rPr>
          <w:b/>
          <w:sz w:val="24"/>
          <w:szCs w:val="24"/>
        </w:rPr>
        <w:t>)</w:t>
      </w:r>
      <w:r w:rsidR="00B90831" w:rsidRPr="00477473">
        <w:rPr>
          <w:b/>
          <w:sz w:val="24"/>
          <w:szCs w:val="24"/>
        </w:rPr>
        <w:t xml:space="preserve"> </w:t>
      </w:r>
    </w:p>
    <w:tbl>
      <w:tblPr>
        <w:tblStyle w:val="MediumGrid1"/>
        <w:tblW w:w="9738" w:type="dxa"/>
        <w:jc w:val="center"/>
        <w:tblLayout w:type="fixed"/>
        <w:tblLook w:val="06E0" w:firstRow="1" w:lastRow="1" w:firstColumn="1" w:lastColumn="0" w:noHBand="1" w:noVBand="1"/>
      </w:tblPr>
      <w:tblGrid>
        <w:gridCol w:w="1188"/>
        <w:gridCol w:w="1080"/>
        <w:gridCol w:w="1260"/>
        <w:gridCol w:w="990"/>
        <w:gridCol w:w="1080"/>
        <w:gridCol w:w="1350"/>
        <w:gridCol w:w="1440"/>
        <w:gridCol w:w="1350"/>
      </w:tblGrid>
      <w:tr w:rsidR="002A2762" w:rsidRPr="002A2762" w:rsidTr="002A2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C6D9F1" w:themeFill="text2" w:themeFillTint="33"/>
          </w:tcPr>
          <w:p w:rsidR="002A2762" w:rsidRPr="002A2762" w:rsidRDefault="002A2762" w:rsidP="00693CFC">
            <w:r w:rsidRPr="002A2762">
              <w:t>Source of funds</w:t>
            </w:r>
          </w:p>
        </w:tc>
        <w:tc>
          <w:tcPr>
            <w:tcW w:w="108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Funds required (a)</w:t>
            </w:r>
          </w:p>
        </w:tc>
        <w:tc>
          <w:tcPr>
            <w:tcW w:w="126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Funds committed (b)</w:t>
            </w:r>
          </w:p>
        </w:tc>
        <w:tc>
          <w:tcPr>
            <w:tcW w:w="990" w:type="dxa"/>
            <w:tcBorders>
              <w:bottom w:val="single" w:sz="8" w:space="0" w:color="404040" w:themeColor="text1" w:themeTint="BF"/>
            </w:tcBorders>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 xml:space="preserve">Funding Gap </w:t>
            </w:r>
          </w:p>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(c)</w:t>
            </w:r>
          </w:p>
        </w:tc>
        <w:tc>
          <w:tcPr>
            <w:tcW w:w="108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Total cash received (d)</w:t>
            </w:r>
          </w:p>
        </w:tc>
        <w:tc>
          <w:tcPr>
            <w:tcW w:w="135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Previous years expenditure (e)</w:t>
            </w:r>
          </w:p>
        </w:tc>
        <w:tc>
          <w:tcPr>
            <w:tcW w:w="144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Current year expenditure* (f)</w:t>
            </w:r>
          </w:p>
        </w:tc>
        <w:tc>
          <w:tcPr>
            <w:tcW w:w="1350" w:type="dxa"/>
            <w:shd w:val="clear" w:color="auto" w:fill="C6D9F1" w:themeFill="text2" w:themeFillTint="33"/>
          </w:tcPr>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Cumulative expenditure to date*</w:t>
            </w:r>
          </w:p>
          <w:p w:rsidR="002A2762" w:rsidRPr="002A2762" w:rsidRDefault="002A2762" w:rsidP="00C925C7">
            <w:pPr>
              <w:jc w:val="center"/>
              <w:cnfStyle w:val="100000000000" w:firstRow="1" w:lastRow="0" w:firstColumn="0" w:lastColumn="0" w:oddVBand="0" w:evenVBand="0" w:oddHBand="0" w:evenHBand="0" w:firstRowFirstColumn="0" w:firstRowLastColumn="0" w:lastRowFirstColumn="0" w:lastRowLastColumn="0"/>
            </w:pPr>
            <w:r w:rsidRPr="002A2762">
              <w:t>(g) = (e)+(f)</w:t>
            </w:r>
          </w:p>
        </w:tc>
      </w:tr>
      <w:tr w:rsidR="00F92C31" w:rsidRPr="002A2762" w:rsidTr="002A2762">
        <w:trPr>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C6D9F1" w:themeFill="text2" w:themeFillTint="33"/>
          </w:tcPr>
          <w:p w:rsidR="00F92C31" w:rsidRPr="002A2762" w:rsidRDefault="00F92C31" w:rsidP="00CA50E8">
            <w:pPr>
              <w:jc w:val="both"/>
            </w:pPr>
            <w:r w:rsidRPr="002A2762">
              <w:t>UNDP</w:t>
            </w:r>
          </w:p>
        </w:tc>
        <w:tc>
          <w:tcPr>
            <w:tcW w:w="1080" w:type="dxa"/>
            <w:vMerge w:val="restart"/>
            <w:shd w:val="clear" w:color="auto" w:fill="C6D9F1" w:themeFill="text2" w:themeFillTint="33"/>
          </w:tcPr>
          <w:p w:rsidR="00F92C31" w:rsidRPr="002A2762" w:rsidRDefault="00F92C31" w:rsidP="00B90831">
            <w:pPr>
              <w:jc w:val="right"/>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FFFFF" w:themeFill="background1"/>
            <w:vAlign w:val="center"/>
          </w:tcPr>
          <w:p w:rsidR="00F92C31" w:rsidRPr="002A2762" w:rsidRDefault="00F92C31" w:rsidP="00B90831">
            <w:pPr>
              <w:jc w:val="right"/>
              <w:cnfStyle w:val="000000000000" w:firstRow="0" w:lastRow="0" w:firstColumn="0" w:lastColumn="0" w:oddVBand="0" w:evenVBand="0" w:oddHBand="0" w:evenHBand="0" w:firstRowFirstColumn="0" w:firstRowLastColumn="0" w:lastRowFirstColumn="0" w:lastRowLastColumn="0"/>
            </w:pPr>
            <w:r w:rsidRPr="002A2762">
              <w:t>830,058</w:t>
            </w:r>
          </w:p>
        </w:tc>
        <w:tc>
          <w:tcPr>
            <w:tcW w:w="990" w:type="dxa"/>
            <w:vMerge w:val="restart"/>
            <w:tcBorders>
              <w:bottom w:val="single" w:sz="18" w:space="0" w:color="404040" w:themeColor="text1" w:themeTint="BF"/>
            </w:tcBorders>
            <w:shd w:val="clear" w:color="auto" w:fill="C6D9F1" w:themeFill="text2" w:themeFillTint="33"/>
          </w:tcPr>
          <w:p w:rsidR="00F92C31" w:rsidRPr="002A2762" w:rsidRDefault="00F92C31" w:rsidP="00B90831">
            <w:pPr>
              <w:jc w:val="righ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FFFFF" w:themeFill="background1"/>
            <w:vAlign w:val="center"/>
          </w:tcPr>
          <w:p w:rsidR="00F92C31" w:rsidRPr="002A2762" w:rsidRDefault="00F92C31" w:rsidP="00B90831">
            <w:pPr>
              <w:jc w:val="right"/>
              <w:cnfStyle w:val="000000000000" w:firstRow="0" w:lastRow="0" w:firstColumn="0" w:lastColumn="0" w:oddVBand="0" w:evenVBand="0" w:oddHBand="0" w:evenHBand="0" w:firstRowFirstColumn="0" w:firstRowLastColumn="0" w:lastRowFirstColumn="0" w:lastRowLastColumn="0"/>
            </w:pPr>
            <w:r w:rsidRPr="002A2762">
              <w:t>730,058</w:t>
            </w:r>
          </w:p>
        </w:tc>
        <w:tc>
          <w:tcPr>
            <w:tcW w:w="135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425,057</w:t>
            </w:r>
          </w:p>
        </w:tc>
        <w:tc>
          <w:tcPr>
            <w:tcW w:w="1440" w:type="dxa"/>
            <w:shd w:val="clear" w:color="auto" w:fill="FFFFFF" w:themeFill="background1"/>
            <w:vAlign w:val="center"/>
          </w:tcPr>
          <w:p w:rsidR="00F92C31" w:rsidRPr="00F13624" w:rsidRDefault="00F92C31" w:rsidP="0013385B">
            <w:pPr>
              <w:jc w:val="right"/>
              <w:cnfStyle w:val="000000000000" w:firstRow="0" w:lastRow="0" w:firstColumn="0" w:lastColumn="0" w:oddVBand="0" w:evenVBand="0" w:oddHBand="0" w:evenHBand="0" w:firstRowFirstColumn="0" w:firstRowLastColumn="0" w:lastRowFirstColumn="0" w:lastRowLastColumn="0"/>
            </w:pPr>
            <w:r>
              <w:t>300,694</w:t>
            </w:r>
          </w:p>
        </w:tc>
        <w:tc>
          <w:tcPr>
            <w:tcW w:w="1350" w:type="dxa"/>
            <w:shd w:val="clear" w:color="auto" w:fill="FFFFFF" w:themeFill="background1"/>
            <w:vAlign w:val="center"/>
          </w:tcPr>
          <w:p w:rsidR="00F92C31" w:rsidRPr="00F92C31"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F92C31">
              <w:t>725,751</w:t>
            </w:r>
          </w:p>
        </w:tc>
      </w:tr>
      <w:tr w:rsidR="00F92C31" w:rsidRPr="002A2762" w:rsidTr="002A2762">
        <w:trPr>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C6D9F1" w:themeFill="text2" w:themeFillTint="33"/>
          </w:tcPr>
          <w:p w:rsidR="00F92C31" w:rsidRPr="002A2762" w:rsidRDefault="00F92C31" w:rsidP="00CA50E8">
            <w:pPr>
              <w:jc w:val="both"/>
            </w:pPr>
            <w:r w:rsidRPr="002A2762">
              <w:t>DFID</w:t>
            </w:r>
          </w:p>
        </w:tc>
        <w:tc>
          <w:tcPr>
            <w:tcW w:w="1080" w:type="dxa"/>
            <w:vMerge/>
            <w:shd w:val="clear" w:color="auto" w:fill="C6D9F1" w:themeFill="text2" w:themeFillTint="33"/>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240,000</w:t>
            </w:r>
          </w:p>
        </w:tc>
        <w:tc>
          <w:tcPr>
            <w:tcW w:w="990" w:type="dxa"/>
            <w:vMerge/>
            <w:tcBorders>
              <w:bottom w:val="single" w:sz="18" w:space="0" w:color="404040" w:themeColor="text1" w:themeTint="BF"/>
            </w:tcBorders>
            <w:shd w:val="clear" w:color="auto" w:fill="C6D9F1" w:themeFill="text2" w:themeFillTint="33"/>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240,000</w:t>
            </w:r>
          </w:p>
        </w:tc>
        <w:tc>
          <w:tcPr>
            <w:tcW w:w="135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174,528</w:t>
            </w:r>
          </w:p>
        </w:tc>
        <w:tc>
          <w:tcPr>
            <w:tcW w:w="1440" w:type="dxa"/>
            <w:shd w:val="clear" w:color="auto" w:fill="FFFFFF" w:themeFill="background1"/>
            <w:vAlign w:val="center"/>
          </w:tcPr>
          <w:p w:rsidR="00F92C31" w:rsidRPr="00F13624" w:rsidRDefault="00F92C31" w:rsidP="0013385B">
            <w:pPr>
              <w:jc w:val="right"/>
              <w:cnfStyle w:val="000000000000" w:firstRow="0" w:lastRow="0" w:firstColumn="0" w:lastColumn="0" w:oddVBand="0" w:evenVBand="0" w:oddHBand="0" w:evenHBand="0" w:firstRowFirstColumn="0" w:firstRowLastColumn="0" w:lastRowFirstColumn="0" w:lastRowLastColumn="0"/>
            </w:pPr>
            <w:r>
              <w:t>65,472</w:t>
            </w:r>
          </w:p>
        </w:tc>
        <w:tc>
          <w:tcPr>
            <w:tcW w:w="1350" w:type="dxa"/>
            <w:shd w:val="clear" w:color="auto" w:fill="FFFFFF" w:themeFill="background1"/>
            <w:vAlign w:val="center"/>
          </w:tcPr>
          <w:p w:rsidR="00F92C31" w:rsidRPr="00F92C31" w:rsidRDefault="00F92C31" w:rsidP="00693CFC">
            <w:pPr>
              <w:jc w:val="right"/>
              <w:cnfStyle w:val="000000000000" w:firstRow="0" w:lastRow="0" w:firstColumn="0" w:lastColumn="0" w:oddVBand="0" w:evenVBand="0" w:oddHBand="0" w:evenHBand="0" w:firstRowFirstColumn="0" w:firstRowLastColumn="0" w:lastRowFirstColumn="0" w:lastRowLastColumn="0"/>
            </w:pPr>
            <w:r>
              <w:t>240,000</w:t>
            </w:r>
          </w:p>
        </w:tc>
      </w:tr>
      <w:tr w:rsidR="00F92C31" w:rsidRPr="002A2762" w:rsidTr="002A2762">
        <w:trPr>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C6D9F1" w:themeFill="text2" w:themeFillTint="33"/>
          </w:tcPr>
          <w:p w:rsidR="00F92C31" w:rsidRPr="002A2762" w:rsidRDefault="00F92C31" w:rsidP="00CA50E8">
            <w:pPr>
              <w:jc w:val="both"/>
            </w:pPr>
            <w:r w:rsidRPr="002A2762">
              <w:t>Denmark</w:t>
            </w:r>
          </w:p>
        </w:tc>
        <w:tc>
          <w:tcPr>
            <w:tcW w:w="1080" w:type="dxa"/>
            <w:vMerge/>
            <w:shd w:val="clear" w:color="auto" w:fill="C6D9F1" w:themeFill="text2" w:themeFillTint="33"/>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158,360</w:t>
            </w:r>
          </w:p>
        </w:tc>
        <w:tc>
          <w:tcPr>
            <w:tcW w:w="990" w:type="dxa"/>
            <w:vMerge/>
            <w:tcBorders>
              <w:bottom w:val="single" w:sz="18" w:space="0" w:color="404040" w:themeColor="text1" w:themeTint="BF"/>
            </w:tcBorders>
            <w:shd w:val="clear" w:color="auto" w:fill="C6D9F1" w:themeFill="text2" w:themeFillTint="33"/>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72,000</w:t>
            </w:r>
          </w:p>
        </w:tc>
        <w:tc>
          <w:tcPr>
            <w:tcW w:w="1350" w:type="dxa"/>
            <w:shd w:val="clear" w:color="auto" w:fill="FFFFFF" w:themeFill="background1"/>
            <w:vAlign w:val="center"/>
          </w:tcPr>
          <w:p w:rsidR="00F92C31" w:rsidRPr="002A2762" w:rsidRDefault="00F92C31" w:rsidP="00693CFC">
            <w:pPr>
              <w:jc w:val="right"/>
              <w:cnfStyle w:val="000000000000" w:firstRow="0" w:lastRow="0" w:firstColumn="0" w:lastColumn="0" w:oddVBand="0" w:evenVBand="0" w:oddHBand="0" w:evenHBand="0" w:firstRowFirstColumn="0" w:firstRowLastColumn="0" w:lastRowFirstColumn="0" w:lastRowLastColumn="0"/>
            </w:pPr>
            <w:r w:rsidRPr="002A2762">
              <w:t>-</w:t>
            </w:r>
          </w:p>
        </w:tc>
        <w:tc>
          <w:tcPr>
            <w:tcW w:w="1440" w:type="dxa"/>
            <w:shd w:val="clear" w:color="auto" w:fill="FFFFFF" w:themeFill="background1"/>
            <w:vAlign w:val="center"/>
          </w:tcPr>
          <w:p w:rsidR="00F92C31" w:rsidRPr="00F13624" w:rsidRDefault="00F92C31" w:rsidP="0013385B">
            <w:pPr>
              <w:jc w:val="right"/>
              <w:cnfStyle w:val="000000000000" w:firstRow="0" w:lastRow="0" w:firstColumn="0" w:lastColumn="0" w:oddVBand="0" w:evenVBand="0" w:oddHBand="0" w:evenHBand="0" w:firstRowFirstColumn="0" w:firstRowLastColumn="0" w:lastRowFirstColumn="0" w:lastRowLastColumn="0"/>
            </w:pPr>
            <w:r>
              <w:t>60,297</w:t>
            </w:r>
          </w:p>
        </w:tc>
        <w:tc>
          <w:tcPr>
            <w:tcW w:w="1350" w:type="dxa"/>
            <w:shd w:val="clear" w:color="auto" w:fill="FFFFFF" w:themeFill="background1"/>
            <w:vAlign w:val="center"/>
          </w:tcPr>
          <w:p w:rsidR="00F92C31" w:rsidRPr="00F92C31" w:rsidRDefault="00F92C31" w:rsidP="00693CFC">
            <w:pPr>
              <w:jc w:val="right"/>
              <w:cnfStyle w:val="000000000000" w:firstRow="0" w:lastRow="0" w:firstColumn="0" w:lastColumn="0" w:oddVBand="0" w:evenVBand="0" w:oddHBand="0" w:evenHBand="0" w:firstRowFirstColumn="0" w:firstRowLastColumn="0" w:lastRowFirstColumn="0" w:lastRowLastColumn="0"/>
            </w:pPr>
            <w:r>
              <w:t>60,297</w:t>
            </w:r>
          </w:p>
        </w:tc>
      </w:tr>
      <w:tr w:rsidR="002A2762" w:rsidRPr="002A2762" w:rsidTr="002A2762">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C6D9F1" w:themeFill="text2" w:themeFillTint="33"/>
          </w:tcPr>
          <w:p w:rsidR="002A2762" w:rsidRPr="002A2762" w:rsidRDefault="002A2762" w:rsidP="00CA50E8">
            <w:pPr>
              <w:jc w:val="both"/>
            </w:pPr>
            <w:r w:rsidRPr="002A2762">
              <w:t>Total</w:t>
            </w:r>
          </w:p>
        </w:tc>
        <w:tc>
          <w:tcPr>
            <w:tcW w:w="1080" w:type="dxa"/>
            <w:shd w:val="clear" w:color="auto" w:fill="FFFFFF" w:themeFill="background1"/>
            <w:vAlign w:val="center"/>
          </w:tcPr>
          <w:p w:rsidR="002A2762" w:rsidRPr="002A2762" w:rsidRDefault="002A2762" w:rsidP="002A2762">
            <w:pPr>
              <w:ind w:left="-117"/>
              <w:jc w:val="right"/>
              <w:cnfStyle w:val="010000000000" w:firstRow="0" w:lastRow="1" w:firstColumn="0" w:lastColumn="0" w:oddVBand="0" w:evenVBand="0" w:oddHBand="0" w:evenHBand="0" w:firstRowFirstColumn="0" w:firstRowLastColumn="0" w:lastRowFirstColumn="0" w:lastRowLastColumn="0"/>
            </w:pPr>
            <w:r>
              <w:t>1,585,418</w:t>
            </w:r>
          </w:p>
        </w:tc>
        <w:tc>
          <w:tcPr>
            <w:tcW w:w="1260" w:type="dxa"/>
            <w:shd w:val="clear" w:color="auto" w:fill="FFFFFF" w:themeFill="background1"/>
            <w:vAlign w:val="center"/>
          </w:tcPr>
          <w:p w:rsidR="002A2762" w:rsidRPr="002A2762" w:rsidRDefault="002A2762" w:rsidP="002A2762">
            <w:pPr>
              <w:jc w:val="right"/>
              <w:cnfStyle w:val="010000000000" w:firstRow="0" w:lastRow="1" w:firstColumn="0" w:lastColumn="0" w:oddVBand="0" w:evenVBand="0" w:oddHBand="0" w:evenHBand="0" w:firstRowFirstColumn="0" w:firstRowLastColumn="0" w:lastRowFirstColumn="0" w:lastRowLastColumn="0"/>
            </w:pPr>
            <w:r w:rsidRPr="002A2762">
              <w:t>1,228,418</w:t>
            </w:r>
          </w:p>
        </w:tc>
        <w:tc>
          <w:tcPr>
            <w:tcW w:w="990" w:type="dxa"/>
            <w:shd w:val="clear" w:color="auto" w:fill="FFFFFF" w:themeFill="background1"/>
            <w:vAlign w:val="center"/>
          </w:tcPr>
          <w:p w:rsidR="002A2762" w:rsidRPr="002A2762" w:rsidRDefault="002A2762" w:rsidP="002A2762">
            <w:pPr>
              <w:jc w:val="right"/>
              <w:cnfStyle w:val="010000000000" w:firstRow="0" w:lastRow="1" w:firstColumn="0" w:lastColumn="0" w:oddVBand="0" w:evenVBand="0" w:oddHBand="0" w:evenHBand="0" w:firstRowFirstColumn="0" w:firstRowLastColumn="0" w:lastRowFirstColumn="0" w:lastRowLastColumn="0"/>
            </w:pPr>
            <w:r>
              <w:t>357,000</w:t>
            </w:r>
          </w:p>
        </w:tc>
        <w:tc>
          <w:tcPr>
            <w:tcW w:w="1080" w:type="dxa"/>
            <w:shd w:val="clear" w:color="auto" w:fill="FFFFFF" w:themeFill="background1"/>
            <w:vAlign w:val="center"/>
          </w:tcPr>
          <w:p w:rsidR="002A2762" w:rsidRPr="002A2762" w:rsidRDefault="002A2762" w:rsidP="002A2762">
            <w:pPr>
              <w:ind w:left="-117"/>
              <w:jc w:val="right"/>
              <w:cnfStyle w:val="010000000000" w:firstRow="0" w:lastRow="1" w:firstColumn="0" w:lastColumn="0" w:oddVBand="0" w:evenVBand="0" w:oddHBand="0" w:evenHBand="0" w:firstRowFirstColumn="0" w:firstRowLastColumn="0" w:lastRowFirstColumn="0" w:lastRowLastColumn="0"/>
            </w:pPr>
            <w:r w:rsidRPr="002A2762">
              <w:t>1,042,058</w:t>
            </w:r>
          </w:p>
        </w:tc>
        <w:tc>
          <w:tcPr>
            <w:tcW w:w="1350" w:type="dxa"/>
            <w:shd w:val="clear" w:color="auto" w:fill="FFFFFF" w:themeFill="background1"/>
            <w:vAlign w:val="center"/>
          </w:tcPr>
          <w:p w:rsidR="002A2762" w:rsidRPr="002A2762" w:rsidRDefault="002A2762" w:rsidP="002A2762">
            <w:pPr>
              <w:jc w:val="right"/>
              <w:cnfStyle w:val="010000000000" w:firstRow="0" w:lastRow="1" w:firstColumn="0" w:lastColumn="0" w:oddVBand="0" w:evenVBand="0" w:oddHBand="0" w:evenHBand="0" w:firstRowFirstColumn="0" w:firstRowLastColumn="0" w:lastRowFirstColumn="0" w:lastRowLastColumn="0"/>
            </w:pPr>
            <w:r w:rsidRPr="002A2762">
              <w:t>599,585</w:t>
            </w:r>
          </w:p>
        </w:tc>
        <w:tc>
          <w:tcPr>
            <w:tcW w:w="1440" w:type="dxa"/>
            <w:shd w:val="clear" w:color="auto" w:fill="FFFFFF" w:themeFill="background1"/>
            <w:vAlign w:val="center"/>
          </w:tcPr>
          <w:p w:rsidR="002A2762" w:rsidRPr="002A2762" w:rsidRDefault="00F92C31" w:rsidP="002A2762">
            <w:pPr>
              <w:jc w:val="right"/>
              <w:cnfStyle w:val="010000000000" w:firstRow="0" w:lastRow="1" w:firstColumn="0" w:lastColumn="0" w:oddVBand="0" w:evenVBand="0" w:oddHBand="0" w:evenHBand="0" w:firstRowFirstColumn="0" w:firstRowLastColumn="0" w:lastRowFirstColumn="0" w:lastRowLastColumn="0"/>
            </w:pPr>
            <w:r>
              <w:t>426,463</w:t>
            </w:r>
          </w:p>
        </w:tc>
        <w:tc>
          <w:tcPr>
            <w:tcW w:w="1350" w:type="dxa"/>
            <w:shd w:val="clear" w:color="auto" w:fill="FFFFFF" w:themeFill="background1"/>
            <w:vAlign w:val="center"/>
          </w:tcPr>
          <w:p w:rsidR="002A2762" w:rsidRPr="00F92C31" w:rsidRDefault="00477473" w:rsidP="002A2762">
            <w:pPr>
              <w:jc w:val="right"/>
              <w:cnfStyle w:val="010000000000" w:firstRow="0" w:lastRow="1" w:firstColumn="0" w:lastColumn="0" w:oddVBand="0" w:evenVBand="0" w:oddHBand="0" w:evenHBand="0" w:firstRowFirstColumn="0" w:firstRowLastColumn="0" w:lastRowFirstColumn="0" w:lastRowLastColumn="0"/>
            </w:pPr>
            <w:r>
              <w:t>1,026,048</w:t>
            </w:r>
          </w:p>
        </w:tc>
      </w:tr>
    </w:tbl>
    <w:p w:rsidR="00B735E8" w:rsidRPr="00A54B9C" w:rsidRDefault="00B735E8" w:rsidP="00CA50E8">
      <w:pPr>
        <w:jc w:val="both"/>
        <w:rPr>
          <w:sz w:val="20"/>
          <w:szCs w:val="20"/>
        </w:rPr>
      </w:pPr>
      <w:r w:rsidRPr="00B735E8">
        <w:rPr>
          <w:sz w:val="20"/>
          <w:szCs w:val="20"/>
        </w:rPr>
        <w:t>*</w:t>
      </w:r>
      <w:r w:rsidR="00B90831">
        <w:rPr>
          <w:i/>
          <w:sz w:val="20"/>
          <w:szCs w:val="20"/>
        </w:rPr>
        <w:t>Provisional 2011</w:t>
      </w:r>
      <w:r w:rsidRPr="00B735E8">
        <w:rPr>
          <w:i/>
          <w:sz w:val="20"/>
          <w:szCs w:val="20"/>
        </w:rPr>
        <w:t xml:space="preserve"> figures</w:t>
      </w:r>
      <w:r>
        <w:rPr>
          <w:sz w:val="20"/>
          <w:szCs w:val="20"/>
        </w:rPr>
        <w:t xml:space="preserve">, </w:t>
      </w:r>
      <w:r w:rsidRPr="00B735E8">
        <w:rPr>
          <w:i/>
          <w:sz w:val="20"/>
          <w:szCs w:val="20"/>
        </w:rPr>
        <w:t>as</w:t>
      </w:r>
      <w:r w:rsidR="002A2762">
        <w:rPr>
          <w:i/>
          <w:sz w:val="20"/>
          <w:szCs w:val="20"/>
        </w:rPr>
        <w:t xml:space="preserve"> at 15</w:t>
      </w:r>
      <w:r w:rsidRPr="00B735E8">
        <w:rPr>
          <w:i/>
          <w:sz w:val="20"/>
          <w:szCs w:val="20"/>
        </w:rPr>
        <w:t xml:space="preserve"> </w:t>
      </w:r>
      <w:r>
        <w:rPr>
          <w:i/>
          <w:sz w:val="20"/>
          <w:szCs w:val="20"/>
        </w:rPr>
        <w:t>J</w:t>
      </w:r>
      <w:r w:rsidRPr="00B735E8">
        <w:rPr>
          <w:i/>
          <w:sz w:val="20"/>
          <w:szCs w:val="20"/>
        </w:rPr>
        <w:t>anuary 201</w:t>
      </w:r>
      <w:r w:rsidR="00B90831">
        <w:rPr>
          <w:i/>
          <w:sz w:val="20"/>
          <w:szCs w:val="20"/>
        </w:rPr>
        <w:t>2</w:t>
      </w:r>
    </w:p>
    <w:p w:rsidR="000D7053" w:rsidRPr="00A54B9C" w:rsidRDefault="00134EF4" w:rsidP="000D7053">
      <w:pPr>
        <w:jc w:val="both"/>
        <w:rPr>
          <w:sz w:val="24"/>
          <w:szCs w:val="24"/>
        </w:rPr>
      </w:pPr>
      <w:r w:rsidRPr="00B735E8">
        <w:rPr>
          <w:sz w:val="24"/>
          <w:szCs w:val="24"/>
        </w:rPr>
        <w:t xml:space="preserve">The </w:t>
      </w:r>
      <w:r w:rsidR="0060445B">
        <w:rPr>
          <w:sz w:val="24"/>
          <w:szCs w:val="24"/>
        </w:rPr>
        <w:t>overall project delivery in 2011</w:t>
      </w:r>
      <w:r w:rsidRPr="00B735E8">
        <w:rPr>
          <w:sz w:val="24"/>
          <w:szCs w:val="24"/>
        </w:rPr>
        <w:t xml:space="preserve"> was satisfactory, with </w:t>
      </w:r>
      <w:r w:rsidR="00B735E8" w:rsidRPr="00B735E8">
        <w:rPr>
          <w:sz w:val="24"/>
          <w:szCs w:val="24"/>
        </w:rPr>
        <w:t xml:space="preserve">expenditures </w:t>
      </w:r>
      <w:r w:rsidR="00B735E8">
        <w:rPr>
          <w:sz w:val="24"/>
          <w:szCs w:val="24"/>
        </w:rPr>
        <w:t>amounting to</w:t>
      </w:r>
      <w:r w:rsidR="00B735E8" w:rsidRPr="00B735E8">
        <w:rPr>
          <w:sz w:val="24"/>
          <w:szCs w:val="24"/>
        </w:rPr>
        <w:t xml:space="preserve"> </w:t>
      </w:r>
      <w:r w:rsidR="00B735E8" w:rsidRPr="00F92C31">
        <w:rPr>
          <w:sz w:val="24"/>
          <w:szCs w:val="24"/>
        </w:rPr>
        <w:t>9</w:t>
      </w:r>
      <w:r w:rsidR="00F92C31" w:rsidRPr="00F92C31">
        <w:rPr>
          <w:sz w:val="24"/>
          <w:szCs w:val="24"/>
        </w:rPr>
        <w:t>6</w:t>
      </w:r>
      <w:r w:rsidR="00F92C31">
        <w:rPr>
          <w:sz w:val="24"/>
          <w:szCs w:val="24"/>
        </w:rPr>
        <w:t>.4</w:t>
      </w:r>
      <w:r w:rsidR="00B735E8" w:rsidRPr="00F92C31">
        <w:rPr>
          <w:sz w:val="24"/>
          <w:szCs w:val="24"/>
        </w:rPr>
        <w:t xml:space="preserve"> </w:t>
      </w:r>
      <w:r w:rsidR="00B735E8" w:rsidRPr="00B735E8">
        <w:rPr>
          <w:sz w:val="24"/>
          <w:szCs w:val="24"/>
        </w:rPr>
        <w:t xml:space="preserve">% of the annual </w:t>
      </w:r>
      <w:r w:rsidR="00B735E8">
        <w:rPr>
          <w:sz w:val="24"/>
          <w:szCs w:val="24"/>
        </w:rPr>
        <w:t xml:space="preserve">project </w:t>
      </w:r>
      <w:r w:rsidR="00B735E8" w:rsidRPr="00B735E8">
        <w:rPr>
          <w:sz w:val="24"/>
          <w:szCs w:val="24"/>
        </w:rPr>
        <w:t>budget</w:t>
      </w:r>
      <w:r w:rsidR="000D7053">
        <w:rPr>
          <w:sz w:val="24"/>
          <w:szCs w:val="24"/>
        </w:rPr>
        <w:t>:</w:t>
      </w:r>
    </w:p>
    <w:p w:rsidR="000D7053" w:rsidRPr="00F92C31" w:rsidRDefault="0060445B" w:rsidP="000D7053">
      <w:pPr>
        <w:spacing w:after="0"/>
        <w:ind w:left="360"/>
        <w:jc w:val="both"/>
        <w:rPr>
          <w:sz w:val="24"/>
          <w:szCs w:val="24"/>
        </w:rPr>
      </w:pPr>
      <w:r w:rsidRPr="00F92C31">
        <w:rPr>
          <w:b/>
          <w:sz w:val="24"/>
          <w:szCs w:val="24"/>
        </w:rPr>
        <w:t>Delivery status 2011</w:t>
      </w:r>
      <w:r w:rsidR="00A54B9C" w:rsidRPr="00F92C31">
        <w:rPr>
          <w:b/>
          <w:sz w:val="24"/>
          <w:szCs w:val="24"/>
        </w:rPr>
        <w:t xml:space="preserve"> </w:t>
      </w:r>
      <w:r w:rsidR="00F13624" w:rsidRPr="00F92C31">
        <w:rPr>
          <w:b/>
          <w:sz w:val="24"/>
          <w:szCs w:val="24"/>
        </w:rPr>
        <w:t>(USD</w:t>
      </w:r>
      <w:r w:rsidR="000D7053" w:rsidRPr="00F92C31">
        <w:rPr>
          <w:b/>
          <w:sz w:val="24"/>
          <w:szCs w:val="24"/>
        </w:rPr>
        <w:t>)</w:t>
      </w:r>
    </w:p>
    <w:tbl>
      <w:tblPr>
        <w:tblStyle w:val="MediumGrid1"/>
        <w:tblW w:w="8658" w:type="dxa"/>
        <w:jc w:val="center"/>
        <w:tblLook w:val="06E0" w:firstRow="1" w:lastRow="1" w:firstColumn="1" w:lastColumn="0" w:noHBand="1" w:noVBand="1"/>
      </w:tblPr>
      <w:tblGrid>
        <w:gridCol w:w="2143"/>
        <w:gridCol w:w="2143"/>
        <w:gridCol w:w="2302"/>
        <w:gridCol w:w="2070"/>
      </w:tblGrid>
      <w:tr w:rsidR="00693CFC" w:rsidTr="00693C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3" w:type="dxa"/>
            <w:shd w:val="clear" w:color="auto" w:fill="C6D9F1" w:themeFill="text2" w:themeFillTint="33"/>
          </w:tcPr>
          <w:p w:rsidR="00693CFC" w:rsidRPr="00F13624" w:rsidRDefault="00693CFC" w:rsidP="00065D19">
            <w:r w:rsidRPr="00F13624">
              <w:t>Source of funds</w:t>
            </w:r>
          </w:p>
        </w:tc>
        <w:tc>
          <w:tcPr>
            <w:tcW w:w="2143" w:type="dxa"/>
            <w:shd w:val="clear" w:color="auto" w:fill="C6D9F1" w:themeFill="text2" w:themeFillTint="33"/>
          </w:tcPr>
          <w:p w:rsidR="00693CFC" w:rsidRPr="00F13624" w:rsidRDefault="0060445B" w:rsidP="00693CFC">
            <w:pPr>
              <w:jc w:val="center"/>
              <w:cnfStyle w:val="100000000000" w:firstRow="1" w:lastRow="0" w:firstColumn="0" w:lastColumn="0" w:oddVBand="0" w:evenVBand="0" w:oddHBand="0" w:evenHBand="0" w:firstRowFirstColumn="0" w:firstRowLastColumn="0" w:lastRowFirstColumn="0" w:lastRowLastColumn="0"/>
            </w:pPr>
            <w:r w:rsidRPr="00F13624">
              <w:t>2011</w:t>
            </w:r>
            <w:r w:rsidR="00693CFC" w:rsidRPr="00F13624">
              <w:t xml:space="preserve"> Annual Work Plan Budget</w:t>
            </w:r>
          </w:p>
        </w:tc>
        <w:tc>
          <w:tcPr>
            <w:tcW w:w="2302" w:type="dxa"/>
            <w:shd w:val="clear" w:color="auto" w:fill="C6D9F1" w:themeFill="text2" w:themeFillTint="33"/>
          </w:tcPr>
          <w:p w:rsidR="00693CFC" w:rsidRPr="00F13624" w:rsidRDefault="0060445B" w:rsidP="00693CFC">
            <w:pPr>
              <w:jc w:val="center"/>
              <w:cnfStyle w:val="100000000000" w:firstRow="1" w:lastRow="0" w:firstColumn="0" w:lastColumn="0" w:oddVBand="0" w:evenVBand="0" w:oddHBand="0" w:evenHBand="0" w:firstRowFirstColumn="0" w:firstRowLastColumn="0" w:lastRowFirstColumn="0" w:lastRowLastColumn="0"/>
            </w:pPr>
            <w:r w:rsidRPr="00F13624">
              <w:t>2011</w:t>
            </w:r>
            <w:r w:rsidR="00693CFC" w:rsidRPr="00F13624">
              <w:t xml:space="preserve"> Annual expenditure</w:t>
            </w:r>
            <w:r w:rsidR="000D7053" w:rsidRPr="00F13624">
              <w:t>*</w:t>
            </w:r>
          </w:p>
        </w:tc>
        <w:tc>
          <w:tcPr>
            <w:tcW w:w="2070" w:type="dxa"/>
            <w:shd w:val="clear" w:color="auto" w:fill="C6D9F1" w:themeFill="text2" w:themeFillTint="33"/>
          </w:tcPr>
          <w:p w:rsidR="00693CFC" w:rsidRPr="00F13624" w:rsidRDefault="00693CFC" w:rsidP="00693CFC">
            <w:pPr>
              <w:jc w:val="center"/>
              <w:cnfStyle w:val="100000000000" w:firstRow="1" w:lastRow="0" w:firstColumn="0" w:lastColumn="0" w:oddVBand="0" w:evenVBand="0" w:oddHBand="0" w:evenHBand="0" w:firstRowFirstColumn="0" w:firstRowLastColumn="0" w:lastRowFirstColumn="0" w:lastRowLastColumn="0"/>
            </w:pPr>
            <w:r w:rsidRPr="00F13624">
              <w:t>Delivery rate</w:t>
            </w:r>
            <w:r w:rsidR="000D7053" w:rsidRPr="00F13624">
              <w:t>*</w:t>
            </w:r>
          </w:p>
        </w:tc>
      </w:tr>
      <w:tr w:rsidR="000D7053" w:rsidTr="000D7053">
        <w:trPr>
          <w:jc w:val="center"/>
        </w:trPr>
        <w:tc>
          <w:tcPr>
            <w:cnfStyle w:val="001000000000" w:firstRow="0" w:lastRow="0" w:firstColumn="1" w:lastColumn="0" w:oddVBand="0" w:evenVBand="0" w:oddHBand="0" w:evenHBand="0" w:firstRowFirstColumn="0" w:firstRowLastColumn="0" w:lastRowFirstColumn="0" w:lastRowLastColumn="0"/>
            <w:tcW w:w="2143" w:type="dxa"/>
            <w:shd w:val="clear" w:color="auto" w:fill="C6D9F1" w:themeFill="text2" w:themeFillTint="33"/>
          </w:tcPr>
          <w:p w:rsidR="000D7053" w:rsidRPr="00F13624" w:rsidRDefault="000D7053" w:rsidP="00065D19">
            <w:pPr>
              <w:jc w:val="both"/>
            </w:pPr>
            <w:r w:rsidRPr="00F13624">
              <w:t>UNDP</w:t>
            </w:r>
          </w:p>
        </w:tc>
        <w:tc>
          <w:tcPr>
            <w:tcW w:w="2143" w:type="dxa"/>
            <w:shd w:val="clear" w:color="auto" w:fill="FFFFFF" w:themeFill="background1"/>
            <w:vAlign w:val="center"/>
          </w:tcPr>
          <w:p w:rsidR="000D7053" w:rsidRPr="00F13624" w:rsidRDefault="0060445B" w:rsidP="000D7053">
            <w:pPr>
              <w:jc w:val="right"/>
              <w:cnfStyle w:val="000000000000" w:firstRow="0" w:lastRow="0" w:firstColumn="0" w:lastColumn="0" w:oddVBand="0" w:evenVBand="0" w:oddHBand="0" w:evenHBand="0" w:firstRowFirstColumn="0" w:firstRowLastColumn="0" w:lastRowFirstColumn="0" w:lastRowLastColumn="0"/>
            </w:pPr>
            <w:r w:rsidRPr="00F13624">
              <w:t>305,001</w:t>
            </w:r>
          </w:p>
        </w:tc>
        <w:tc>
          <w:tcPr>
            <w:tcW w:w="2302" w:type="dxa"/>
            <w:shd w:val="clear" w:color="auto" w:fill="FFFFFF" w:themeFill="background1"/>
            <w:vAlign w:val="center"/>
          </w:tcPr>
          <w:p w:rsidR="000D7053" w:rsidRPr="00F13624" w:rsidRDefault="00F92C31" w:rsidP="00065D19">
            <w:pPr>
              <w:jc w:val="right"/>
              <w:cnfStyle w:val="000000000000" w:firstRow="0" w:lastRow="0" w:firstColumn="0" w:lastColumn="0" w:oddVBand="0" w:evenVBand="0" w:oddHBand="0" w:evenHBand="0" w:firstRowFirstColumn="0" w:firstRowLastColumn="0" w:lastRowFirstColumn="0" w:lastRowLastColumn="0"/>
            </w:pPr>
            <w:r>
              <w:t>300,694</w:t>
            </w:r>
          </w:p>
        </w:tc>
        <w:tc>
          <w:tcPr>
            <w:tcW w:w="2070" w:type="dxa"/>
            <w:shd w:val="clear" w:color="auto" w:fill="FFFFFF" w:themeFill="background1"/>
            <w:vAlign w:val="center"/>
          </w:tcPr>
          <w:p w:rsidR="000D7053" w:rsidRPr="00F13624" w:rsidRDefault="00F92C31" w:rsidP="000D7053">
            <w:pPr>
              <w:jc w:val="right"/>
              <w:cnfStyle w:val="000000000000" w:firstRow="0" w:lastRow="0" w:firstColumn="0" w:lastColumn="0" w:oddVBand="0" w:evenVBand="0" w:oddHBand="0" w:evenHBand="0" w:firstRowFirstColumn="0" w:firstRowLastColumn="0" w:lastRowFirstColumn="0" w:lastRowLastColumn="0"/>
            </w:pPr>
            <w:r>
              <w:t>98.6%</w:t>
            </w:r>
          </w:p>
        </w:tc>
      </w:tr>
      <w:tr w:rsidR="000D7053" w:rsidTr="000D7053">
        <w:trPr>
          <w:jc w:val="center"/>
        </w:trPr>
        <w:tc>
          <w:tcPr>
            <w:cnfStyle w:val="001000000000" w:firstRow="0" w:lastRow="0" w:firstColumn="1" w:lastColumn="0" w:oddVBand="0" w:evenVBand="0" w:oddHBand="0" w:evenHBand="0" w:firstRowFirstColumn="0" w:firstRowLastColumn="0" w:lastRowFirstColumn="0" w:lastRowLastColumn="0"/>
            <w:tcW w:w="2143" w:type="dxa"/>
            <w:shd w:val="clear" w:color="auto" w:fill="C6D9F1" w:themeFill="text2" w:themeFillTint="33"/>
          </w:tcPr>
          <w:p w:rsidR="000D7053" w:rsidRPr="00F13624" w:rsidRDefault="000D7053" w:rsidP="00065D19">
            <w:pPr>
              <w:jc w:val="both"/>
            </w:pPr>
            <w:r w:rsidRPr="00F13624">
              <w:t>DFID</w:t>
            </w:r>
          </w:p>
        </w:tc>
        <w:tc>
          <w:tcPr>
            <w:tcW w:w="2143" w:type="dxa"/>
            <w:shd w:val="clear" w:color="auto" w:fill="FFFFFF" w:themeFill="background1"/>
            <w:vAlign w:val="center"/>
          </w:tcPr>
          <w:p w:rsidR="000D7053" w:rsidRPr="00F13624" w:rsidRDefault="0060445B" w:rsidP="000D7053">
            <w:pPr>
              <w:jc w:val="right"/>
              <w:cnfStyle w:val="000000000000" w:firstRow="0" w:lastRow="0" w:firstColumn="0" w:lastColumn="0" w:oddVBand="0" w:evenVBand="0" w:oddHBand="0" w:evenHBand="0" w:firstRowFirstColumn="0" w:firstRowLastColumn="0" w:lastRowFirstColumn="0" w:lastRowLastColumn="0"/>
            </w:pPr>
            <w:r w:rsidRPr="00F13624">
              <w:t>65,472</w:t>
            </w:r>
          </w:p>
        </w:tc>
        <w:tc>
          <w:tcPr>
            <w:tcW w:w="2302" w:type="dxa"/>
            <w:shd w:val="clear" w:color="auto" w:fill="FFFFFF" w:themeFill="background1"/>
            <w:vAlign w:val="center"/>
          </w:tcPr>
          <w:p w:rsidR="000D7053" w:rsidRPr="00F13624" w:rsidRDefault="00F92C31" w:rsidP="00065D19">
            <w:pPr>
              <w:jc w:val="right"/>
              <w:cnfStyle w:val="000000000000" w:firstRow="0" w:lastRow="0" w:firstColumn="0" w:lastColumn="0" w:oddVBand="0" w:evenVBand="0" w:oddHBand="0" w:evenHBand="0" w:firstRowFirstColumn="0" w:firstRowLastColumn="0" w:lastRowFirstColumn="0" w:lastRowLastColumn="0"/>
            </w:pPr>
            <w:r>
              <w:t>65,472</w:t>
            </w:r>
          </w:p>
        </w:tc>
        <w:tc>
          <w:tcPr>
            <w:tcW w:w="2070" w:type="dxa"/>
            <w:shd w:val="clear" w:color="auto" w:fill="FFFFFF" w:themeFill="background1"/>
            <w:vAlign w:val="center"/>
          </w:tcPr>
          <w:p w:rsidR="000D7053" w:rsidRPr="00F13624" w:rsidRDefault="00F92C31" w:rsidP="000D7053">
            <w:pPr>
              <w:jc w:val="right"/>
              <w:cnfStyle w:val="000000000000" w:firstRow="0" w:lastRow="0" w:firstColumn="0" w:lastColumn="0" w:oddVBand="0" w:evenVBand="0" w:oddHBand="0" w:evenHBand="0" w:firstRowFirstColumn="0" w:firstRowLastColumn="0" w:lastRowFirstColumn="0" w:lastRowLastColumn="0"/>
            </w:pPr>
            <w:r>
              <w:t>100%</w:t>
            </w:r>
          </w:p>
        </w:tc>
      </w:tr>
      <w:tr w:rsidR="0060445B" w:rsidTr="000D7053">
        <w:trPr>
          <w:jc w:val="center"/>
        </w:trPr>
        <w:tc>
          <w:tcPr>
            <w:cnfStyle w:val="001000000000" w:firstRow="0" w:lastRow="0" w:firstColumn="1" w:lastColumn="0" w:oddVBand="0" w:evenVBand="0" w:oddHBand="0" w:evenHBand="0" w:firstRowFirstColumn="0" w:firstRowLastColumn="0" w:lastRowFirstColumn="0" w:lastRowLastColumn="0"/>
            <w:tcW w:w="2143" w:type="dxa"/>
            <w:shd w:val="clear" w:color="auto" w:fill="C6D9F1" w:themeFill="text2" w:themeFillTint="33"/>
          </w:tcPr>
          <w:p w:rsidR="0060445B" w:rsidRPr="00F13624" w:rsidRDefault="0060445B" w:rsidP="00065D19">
            <w:pPr>
              <w:jc w:val="both"/>
            </w:pPr>
            <w:r w:rsidRPr="00F13624">
              <w:t>Denmark</w:t>
            </w:r>
          </w:p>
        </w:tc>
        <w:tc>
          <w:tcPr>
            <w:tcW w:w="2143" w:type="dxa"/>
            <w:shd w:val="clear" w:color="auto" w:fill="FFFFFF" w:themeFill="background1"/>
            <w:vAlign w:val="center"/>
          </w:tcPr>
          <w:p w:rsidR="0060445B" w:rsidRPr="00F13624" w:rsidRDefault="0060445B" w:rsidP="000D7053">
            <w:pPr>
              <w:jc w:val="right"/>
              <w:cnfStyle w:val="000000000000" w:firstRow="0" w:lastRow="0" w:firstColumn="0" w:lastColumn="0" w:oddVBand="0" w:evenVBand="0" w:oddHBand="0" w:evenHBand="0" w:firstRowFirstColumn="0" w:firstRowLastColumn="0" w:lastRowFirstColumn="0" w:lastRowLastColumn="0"/>
            </w:pPr>
            <w:r w:rsidRPr="00F13624">
              <w:t>72,000</w:t>
            </w:r>
          </w:p>
        </w:tc>
        <w:tc>
          <w:tcPr>
            <w:tcW w:w="2302" w:type="dxa"/>
            <w:shd w:val="clear" w:color="auto" w:fill="FFFFFF" w:themeFill="background1"/>
            <w:vAlign w:val="center"/>
          </w:tcPr>
          <w:p w:rsidR="0060445B" w:rsidRPr="00F13624" w:rsidRDefault="00F92C31" w:rsidP="00065D19">
            <w:pPr>
              <w:jc w:val="right"/>
              <w:cnfStyle w:val="000000000000" w:firstRow="0" w:lastRow="0" w:firstColumn="0" w:lastColumn="0" w:oddVBand="0" w:evenVBand="0" w:oddHBand="0" w:evenHBand="0" w:firstRowFirstColumn="0" w:firstRowLastColumn="0" w:lastRowFirstColumn="0" w:lastRowLastColumn="0"/>
            </w:pPr>
            <w:r>
              <w:t>60,297</w:t>
            </w:r>
          </w:p>
        </w:tc>
        <w:tc>
          <w:tcPr>
            <w:tcW w:w="2070" w:type="dxa"/>
            <w:shd w:val="clear" w:color="auto" w:fill="FFFFFF" w:themeFill="background1"/>
            <w:vAlign w:val="center"/>
          </w:tcPr>
          <w:p w:rsidR="0060445B" w:rsidRPr="00F13624" w:rsidRDefault="00F92C31" w:rsidP="000D7053">
            <w:pPr>
              <w:jc w:val="right"/>
              <w:cnfStyle w:val="000000000000" w:firstRow="0" w:lastRow="0" w:firstColumn="0" w:lastColumn="0" w:oddVBand="0" w:evenVBand="0" w:oddHBand="0" w:evenHBand="0" w:firstRowFirstColumn="0" w:firstRowLastColumn="0" w:lastRowFirstColumn="0" w:lastRowLastColumn="0"/>
            </w:pPr>
            <w:r>
              <w:t>83.7%</w:t>
            </w:r>
          </w:p>
        </w:tc>
      </w:tr>
      <w:tr w:rsidR="00693CFC" w:rsidTr="000D705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43" w:type="dxa"/>
            <w:shd w:val="clear" w:color="auto" w:fill="C6D9F1" w:themeFill="text2" w:themeFillTint="33"/>
          </w:tcPr>
          <w:p w:rsidR="00693CFC" w:rsidRPr="00F13624" w:rsidRDefault="00693CFC" w:rsidP="00065D19">
            <w:pPr>
              <w:jc w:val="both"/>
            </w:pPr>
            <w:r w:rsidRPr="00F13624">
              <w:t>Total</w:t>
            </w:r>
          </w:p>
        </w:tc>
        <w:tc>
          <w:tcPr>
            <w:tcW w:w="2143" w:type="dxa"/>
            <w:shd w:val="clear" w:color="auto" w:fill="FFFFFF" w:themeFill="background1"/>
            <w:vAlign w:val="center"/>
          </w:tcPr>
          <w:p w:rsidR="00693CFC" w:rsidRPr="00F13624" w:rsidRDefault="00F13624" w:rsidP="000D7053">
            <w:pPr>
              <w:jc w:val="right"/>
              <w:cnfStyle w:val="010000000000" w:firstRow="0" w:lastRow="1" w:firstColumn="0" w:lastColumn="0" w:oddVBand="0" w:evenVBand="0" w:oddHBand="0" w:evenHBand="0" w:firstRowFirstColumn="0" w:firstRowLastColumn="0" w:lastRowFirstColumn="0" w:lastRowLastColumn="0"/>
            </w:pPr>
            <w:r w:rsidRPr="00F13624">
              <w:t>442,473</w:t>
            </w:r>
          </w:p>
        </w:tc>
        <w:tc>
          <w:tcPr>
            <w:tcW w:w="2302" w:type="dxa"/>
            <w:shd w:val="clear" w:color="auto" w:fill="FFFFFF" w:themeFill="background1"/>
            <w:vAlign w:val="center"/>
          </w:tcPr>
          <w:p w:rsidR="00693CFC" w:rsidRPr="00F13624" w:rsidRDefault="00F92C31" w:rsidP="000D7053">
            <w:pPr>
              <w:jc w:val="right"/>
              <w:cnfStyle w:val="010000000000" w:firstRow="0" w:lastRow="1" w:firstColumn="0" w:lastColumn="0" w:oddVBand="0" w:evenVBand="0" w:oddHBand="0" w:evenHBand="0" w:firstRowFirstColumn="0" w:firstRowLastColumn="0" w:lastRowFirstColumn="0" w:lastRowLastColumn="0"/>
            </w:pPr>
            <w:r>
              <w:t>426,463</w:t>
            </w:r>
          </w:p>
        </w:tc>
        <w:tc>
          <w:tcPr>
            <w:tcW w:w="2070" w:type="dxa"/>
            <w:shd w:val="clear" w:color="auto" w:fill="FFFFFF" w:themeFill="background1"/>
            <w:vAlign w:val="center"/>
          </w:tcPr>
          <w:p w:rsidR="00693CFC" w:rsidRPr="00F13624" w:rsidRDefault="00F92C31" w:rsidP="000D7053">
            <w:pPr>
              <w:jc w:val="right"/>
              <w:cnfStyle w:val="010000000000" w:firstRow="0" w:lastRow="1" w:firstColumn="0" w:lastColumn="0" w:oddVBand="0" w:evenVBand="0" w:oddHBand="0" w:evenHBand="0" w:firstRowFirstColumn="0" w:firstRowLastColumn="0" w:lastRowFirstColumn="0" w:lastRowLastColumn="0"/>
            </w:pPr>
            <w:r>
              <w:t>96.4%</w:t>
            </w:r>
          </w:p>
        </w:tc>
      </w:tr>
    </w:tbl>
    <w:p w:rsidR="00693CFC" w:rsidRDefault="000D7053" w:rsidP="000D7053">
      <w:pPr>
        <w:spacing w:after="0"/>
        <w:ind w:left="360"/>
        <w:jc w:val="both"/>
        <w:rPr>
          <w:i/>
          <w:sz w:val="20"/>
          <w:szCs w:val="20"/>
        </w:rPr>
      </w:pPr>
      <w:r>
        <w:rPr>
          <w:sz w:val="24"/>
          <w:szCs w:val="24"/>
        </w:rPr>
        <w:t>*</w:t>
      </w:r>
      <w:r w:rsidRPr="000D7053">
        <w:rPr>
          <w:i/>
          <w:sz w:val="20"/>
          <w:szCs w:val="20"/>
        </w:rPr>
        <w:t xml:space="preserve"> </w:t>
      </w:r>
      <w:r w:rsidRPr="00B735E8">
        <w:rPr>
          <w:i/>
          <w:sz w:val="20"/>
          <w:szCs w:val="20"/>
        </w:rPr>
        <w:t>Provisional 201</w:t>
      </w:r>
      <w:r w:rsidR="0060445B">
        <w:rPr>
          <w:i/>
          <w:sz w:val="20"/>
          <w:szCs w:val="20"/>
        </w:rPr>
        <w:t>1</w:t>
      </w:r>
      <w:r w:rsidRPr="00B735E8">
        <w:rPr>
          <w:i/>
          <w:sz w:val="20"/>
          <w:szCs w:val="20"/>
        </w:rPr>
        <w:t xml:space="preserve"> figures</w:t>
      </w:r>
      <w:r>
        <w:rPr>
          <w:sz w:val="20"/>
          <w:szCs w:val="20"/>
        </w:rPr>
        <w:t xml:space="preserve">, </w:t>
      </w:r>
      <w:r w:rsidR="0060445B">
        <w:rPr>
          <w:i/>
          <w:sz w:val="20"/>
          <w:szCs w:val="20"/>
        </w:rPr>
        <w:t>as at 15</w:t>
      </w:r>
      <w:r w:rsidRPr="00B735E8">
        <w:rPr>
          <w:i/>
          <w:sz w:val="20"/>
          <w:szCs w:val="20"/>
        </w:rPr>
        <w:t xml:space="preserve"> </w:t>
      </w:r>
      <w:r>
        <w:rPr>
          <w:i/>
          <w:sz w:val="20"/>
          <w:szCs w:val="20"/>
        </w:rPr>
        <w:t>J</w:t>
      </w:r>
      <w:r w:rsidR="0060445B">
        <w:rPr>
          <w:i/>
          <w:sz w:val="20"/>
          <w:szCs w:val="20"/>
        </w:rPr>
        <w:t>anuary 2012</w:t>
      </w:r>
    </w:p>
    <w:p w:rsidR="00635701" w:rsidRDefault="00635701" w:rsidP="000D7053">
      <w:pPr>
        <w:spacing w:after="0"/>
        <w:ind w:left="360"/>
        <w:jc w:val="both"/>
        <w:rPr>
          <w:i/>
          <w:sz w:val="20"/>
          <w:szCs w:val="20"/>
        </w:rPr>
      </w:pPr>
    </w:p>
    <w:p w:rsidR="00635701" w:rsidRPr="005E0B50" w:rsidRDefault="00635701" w:rsidP="00CA50E8">
      <w:pPr>
        <w:spacing w:after="0"/>
        <w:jc w:val="both"/>
        <w:rPr>
          <w:sz w:val="24"/>
          <w:szCs w:val="24"/>
        </w:rPr>
      </w:pPr>
      <w:r>
        <w:rPr>
          <w:sz w:val="24"/>
          <w:szCs w:val="24"/>
        </w:rPr>
        <w:t>Th</w:t>
      </w:r>
      <w:r w:rsidR="00F13624">
        <w:rPr>
          <w:sz w:val="24"/>
          <w:szCs w:val="24"/>
        </w:rPr>
        <w:t xml:space="preserve">e planned budget for 2012 is </w:t>
      </w:r>
      <w:r w:rsidR="00295E0C">
        <w:rPr>
          <w:sz w:val="24"/>
          <w:szCs w:val="24"/>
        </w:rPr>
        <w:t>5</w:t>
      </w:r>
      <w:r w:rsidR="00F92C31" w:rsidRPr="00F92C31">
        <w:rPr>
          <w:sz w:val="24"/>
          <w:szCs w:val="24"/>
        </w:rPr>
        <w:t xml:space="preserve">43,360 </w:t>
      </w:r>
      <w:r w:rsidR="00F13624" w:rsidRPr="00F92C31">
        <w:rPr>
          <w:sz w:val="24"/>
          <w:szCs w:val="24"/>
        </w:rPr>
        <w:t>USD</w:t>
      </w:r>
      <w:r w:rsidRPr="00F92C31">
        <w:rPr>
          <w:sz w:val="24"/>
          <w:szCs w:val="24"/>
        </w:rPr>
        <w:t xml:space="preserve">, of which </w:t>
      </w:r>
      <w:r w:rsidR="00F13624" w:rsidRPr="00F92C31">
        <w:rPr>
          <w:sz w:val="24"/>
          <w:szCs w:val="24"/>
        </w:rPr>
        <w:t>186,360 USD</w:t>
      </w:r>
      <w:r w:rsidRPr="00F92C31">
        <w:rPr>
          <w:sz w:val="24"/>
          <w:szCs w:val="24"/>
        </w:rPr>
        <w:t xml:space="preserve"> are already funded by Denmark</w:t>
      </w:r>
      <w:r w:rsidR="00F13624" w:rsidRPr="00F92C31">
        <w:rPr>
          <w:sz w:val="24"/>
          <w:szCs w:val="24"/>
        </w:rPr>
        <w:t xml:space="preserve"> and UNDP</w:t>
      </w:r>
      <w:r w:rsidRPr="00F92C31">
        <w:rPr>
          <w:sz w:val="24"/>
          <w:szCs w:val="24"/>
        </w:rPr>
        <w:t xml:space="preserve">. </w:t>
      </w:r>
      <w:r w:rsidR="00F13624" w:rsidRPr="00F92C31">
        <w:rPr>
          <w:sz w:val="24"/>
          <w:szCs w:val="24"/>
        </w:rPr>
        <w:t>The funding shortfall for 2012 amounts to 357,000 USD.</w:t>
      </w:r>
    </w:p>
    <w:p w:rsidR="00635701" w:rsidRDefault="00635701" w:rsidP="00CA50E8">
      <w:pPr>
        <w:spacing w:after="0"/>
        <w:jc w:val="both"/>
        <w:rPr>
          <w:b/>
          <w:sz w:val="24"/>
          <w:szCs w:val="24"/>
        </w:rPr>
      </w:pPr>
    </w:p>
    <w:p w:rsidR="00CA50E8" w:rsidRDefault="00CA50E8" w:rsidP="00CA50E8">
      <w:pPr>
        <w:pStyle w:val="ListParagraph"/>
        <w:numPr>
          <w:ilvl w:val="0"/>
          <w:numId w:val="2"/>
        </w:numPr>
        <w:spacing w:after="0"/>
        <w:jc w:val="both"/>
        <w:rPr>
          <w:b/>
          <w:sz w:val="28"/>
          <w:szCs w:val="28"/>
        </w:rPr>
      </w:pPr>
      <w:r>
        <w:rPr>
          <w:b/>
          <w:sz w:val="28"/>
          <w:szCs w:val="28"/>
        </w:rPr>
        <w:t>Lessons learned</w:t>
      </w:r>
    </w:p>
    <w:p w:rsidR="00AB51D0" w:rsidRPr="00EA036D" w:rsidRDefault="00AB51D0" w:rsidP="00CA50E8">
      <w:pPr>
        <w:pStyle w:val="ListParagraph"/>
        <w:spacing w:after="0"/>
        <w:jc w:val="both"/>
        <w:rPr>
          <w:b/>
          <w:sz w:val="24"/>
          <w:szCs w:val="24"/>
        </w:rPr>
      </w:pPr>
    </w:p>
    <w:p w:rsidR="00EA036D" w:rsidRPr="00EA036D" w:rsidRDefault="00EA036D" w:rsidP="005F6DEB">
      <w:pPr>
        <w:pStyle w:val="ListParagraph"/>
        <w:numPr>
          <w:ilvl w:val="0"/>
          <w:numId w:val="10"/>
        </w:numPr>
        <w:spacing w:after="120"/>
        <w:contextualSpacing w:val="0"/>
        <w:jc w:val="both"/>
        <w:rPr>
          <w:sz w:val="24"/>
          <w:szCs w:val="24"/>
        </w:rPr>
      </w:pPr>
      <w:r w:rsidRPr="00EA036D">
        <w:rPr>
          <w:sz w:val="24"/>
          <w:szCs w:val="24"/>
        </w:rPr>
        <w:t xml:space="preserve">One positive lesson learnt is that the recruitment of short-term support staff helped to get the AMP data collection process started. A smooth transition to a ministry focal point was made possible thanks to the commitment of FACD management who assigned a staff member for this task. </w:t>
      </w:r>
    </w:p>
    <w:p w:rsidR="00EA036D" w:rsidRPr="00EA036D" w:rsidRDefault="00EA036D" w:rsidP="005F6DEB">
      <w:pPr>
        <w:pStyle w:val="ListParagraph"/>
        <w:numPr>
          <w:ilvl w:val="0"/>
          <w:numId w:val="10"/>
        </w:numPr>
        <w:spacing w:after="120"/>
        <w:contextualSpacing w:val="0"/>
        <w:jc w:val="both"/>
        <w:rPr>
          <w:sz w:val="24"/>
          <w:szCs w:val="24"/>
        </w:rPr>
      </w:pPr>
      <w:r w:rsidRPr="00EA036D">
        <w:rPr>
          <w:sz w:val="24"/>
          <w:szCs w:val="24"/>
        </w:rPr>
        <w:t xml:space="preserve">Frequent staff transfers remain a threat to the sustainability of the project, as key people (such as the AMP focal point) are due for transfer very soon. One way to mitigate this risk would be to have in key positions (AMP focal point and IT focal point) some alternate focal points, on a different transfer schedule, who could ensure that there are no gaps in the management of AMP. Another risk mitigation measure which the project has already implemented is to train all section officers on basic AMP tasks </w:t>
      </w:r>
      <w:r w:rsidRPr="00EA036D">
        <w:rPr>
          <w:sz w:val="24"/>
          <w:szCs w:val="24"/>
        </w:rPr>
        <w:lastRenderedPageBreak/>
        <w:t>(such as monitoring of donor data entry) so that a critical mass of people within MOF/ FACD have the required skills at all times and can train newcomers, regardless of the transfer schedule.</w:t>
      </w:r>
    </w:p>
    <w:p w:rsidR="005E0B50" w:rsidRPr="00295E0C" w:rsidRDefault="00EA036D" w:rsidP="00295E0C">
      <w:pPr>
        <w:pStyle w:val="ListParagraph"/>
        <w:numPr>
          <w:ilvl w:val="0"/>
          <w:numId w:val="10"/>
        </w:numPr>
        <w:spacing w:after="120"/>
        <w:contextualSpacing w:val="0"/>
        <w:jc w:val="both"/>
        <w:rPr>
          <w:sz w:val="24"/>
          <w:szCs w:val="24"/>
        </w:rPr>
      </w:pPr>
      <w:r w:rsidRPr="00EA036D">
        <w:rPr>
          <w:sz w:val="24"/>
          <w:szCs w:val="24"/>
        </w:rPr>
        <w:t xml:space="preserve">On the capacity development side, there is a high demand for trainings related to aid effectiveness. However, the capacity development program should target some of the less advanced ministries as well as key staff at local level, who have less </w:t>
      </w:r>
      <w:r>
        <w:rPr>
          <w:sz w:val="24"/>
          <w:szCs w:val="24"/>
        </w:rPr>
        <w:t xml:space="preserve">learning </w:t>
      </w:r>
      <w:r w:rsidRPr="00EA036D">
        <w:rPr>
          <w:sz w:val="24"/>
          <w:szCs w:val="24"/>
        </w:rPr>
        <w:t xml:space="preserve">opportunities </w:t>
      </w:r>
      <w:r>
        <w:rPr>
          <w:sz w:val="24"/>
          <w:szCs w:val="24"/>
        </w:rPr>
        <w:t>on</w:t>
      </w:r>
      <w:r w:rsidRPr="00EA036D">
        <w:rPr>
          <w:sz w:val="24"/>
          <w:szCs w:val="24"/>
        </w:rPr>
        <w:t xml:space="preserve"> these issues than ministry staff in SWAp sectors. The project should also facilitate more exchanges of experiences between ministries, as there are a lot of lessons learned within Nepal but insufficiently documented and shared.</w:t>
      </w:r>
    </w:p>
    <w:p w:rsidR="005E0B50" w:rsidRDefault="005E0B50" w:rsidP="005F6DEB">
      <w:pPr>
        <w:pStyle w:val="ListParagraph"/>
        <w:jc w:val="both"/>
        <w:rPr>
          <w:b/>
          <w:sz w:val="28"/>
          <w:szCs w:val="28"/>
        </w:rPr>
      </w:pPr>
    </w:p>
    <w:p w:rsidR="00CA50E8" w:rsidRPr="00CA50E8" w:rsidRDefault="00CA50E8" w:rsidP="005F6DEB">
      <w:pPr>
        <w:pStyle w:val="ListParagraph"/>
        <w:numPr>
          <w:ilvl w:val="0"/>
          <w:numId w:val="2"/>
        </w:numPr>
        <w:spacing w:after="0"/>
        <w:jc w:val="both"/>
        <w:rPr>
          <w:b/>
          <w:sz w:val="28"/>
          <w:szCs w:val="28"/>
        </w:rPr>
      </w:pPr>
      <w:r w:rsidRPr="00CA50E8">
        <w:rPr>
          <w:b/>
          <w:sz w:val="28"/>
          <w:szCs w:val="28"/>
        </w:rPr>
        <w:t>Priorities for 201</w:t>
      </w:r>
      <w:r w:rsidR="00F22AF6">
        <w:rPr>
          <w:b/>
          <w:sz w:val="28"/>
          <w:szCs w:val="28"/>
        </w:rPr>
        <w:t>2</w:t>
      </w:r>
      <w:bookmarkStart w:id="0" w:name="_GoBack"/>
      <w:bookmarkEnd w:id="0"/>
    </w:p>
    <w:p w:rsidR="00CA50E8" w:rsidRDefault="00CA50E8" w:rsidP="005F6DEB">
      <w:pPr>
        <w:spacing w:after="0"/>
        <w:jc w:val="both"/>
        <w:rPr>
          <w:b/>
          <w:sz w:val="24"/>
          <w:szCs w:val="24"/>
        </w:rPr>
      </w:pPr>
    </w:p>
    <w:p w:rsidR="00EA036D" w:rsidRPr="00EA036D" w:rsidRDefault="00EA036D" w:rsidP="005F6DEB">
      <w:pPr>
        <w:numPr>
          <w:ilvl w:val="0"/>
          <w:numId w:val="13"/>
        </w:numPr>
        <w:spacing w:after="120"/>
        <w:jc w:val="both"/>
        <w:rPr>
          <w:sz w:val="24"/>
          <w:szCs w:val="24"/>
        </w:rPr>
      </w:pPr>
      <w:r w:rsidRPr="00EA036D">
        <w:rPr>
          <w:sz w:val="24"/>
          <w:szCs w:val="24"/>
        </w:rPr>
        <w:t xml:space="preserve">Aid transparency: roll out of AMP to Parliamentarians, NGOs and the wider public, as well as other line ministries. Analysis will also be produced and published through </w:t>
      </w:r>
      <w:r>
        <w:rPr>
          <w:sz w:val="24"/>
          <w:szCs w:val="24"/>
        </w:rPr>
        <w:t xml:space="preserve">an </w:t>
      </w:r>
      <w:r w:rsidRPr="00EA036D">
        <w:rPr>
          <w:sz w:val="24"/>
          <w:szCs w:val="24"/>
        </w:rPr>
        <w:t>AMP website and</w:t>
      </w:r>
      <w:r>
        <w:rPr>
          <w:sz w:val="24"/>
          <w:szCs w:val="24"/>
        </w:rPr>
        <w:t xml:space="preserve"> a</w:t>
      </w:r>
      <w:r w:rsidRPr="00EA036D">
        <w:rPr>
          <w:sz w:val="24"/>
          <w:szCs w:val="24"/>
        </w:rPr>
        <w:t xml:space="preserve"> development cooperation report</w:t>
      </w:r>
      <w:r>
        <w:rPr>
          <w:sz w:val="24"/>
          <w:szCs w:val="24"/>
        </w:rPr>
        <w:t>. Subject to availability of funds, AMP partial integration with the national budget and financial systems will be implemented.</w:t>
      </w:r>
    </w:p>
    <w:p w:rsidR="00EA036D" w:rsidRPr="00EA036D" w:rsidRDefault="00EA036D" w:rsidP="005F6DEB">
      <w:pPr>
        <w:numPr>
          <w:ilvl w:val="0"/>
          <w:numId w:val="13"/>
        </w:numPr>
        <w:spacing w:after="120"/>
        <w:jc w:val="both"/>
        <w:rPr>
          <w:sz w:val="24"/>
          <w:szCs w:val="24"/>
        </w:rPr>
      </w:pPr>
      <w:r w:rsidRPr="00EA036D">
        <w:rPr>
          <w:sz w:val="24"/>
          <w:szCs w:val="24"/>
        </w:rPr>
        <w:t xml:space="preserve">Greater involvement of FACD section officers in AMP will be a priority to address issues related to frequent staff turnover. </w:t>
      </w:r>
      <w:r>
        <w:rPr>
          <w:sz w:val="24"/>
          <w:szCs w:val="24"/>
        </w:rPr>
        <w:t>Transfer of IT skills for AMP</w:t>
      </w:r>
      <w:r w:rsidRPr="00EA036D">
        <w:rPr>
          <w:sz w:val="24"/>
          <w:szCs w:val="24"/>
        </w:rPr>
        <w:t xml:space="preserve"> will also be a priority as soon as an IT engineer is recruited by MoF</w:t>
      </w:r>
      <w:r w:rsidR="005F6DEB">
        <w:rPr>
          <w:sz w:val="24"/>
          <w:szCs w:val="24"/>
        </w:rPr>
        <w:t>.</w:t>
      </w:r>
    </w:p>
    <w:p w:rsidR="00EA036D" w:rsidRDefault="00EA036D" w:rsidP="005F6DEB">
      <w:pPr>
        <w:numPr>
          <w:ilvl w:val="0"/>
          <w:numId w:val="13"/>
        </w:numPr>
        <w:spacing w:after="120"/>
        <w:jc w:val="both"/>
        <w:rPr>
          <w:sz w:val="24"/>
          <w:szCs w:val="24"/>
        </w:rPr>
      </w:pPr>
      <w:r w:rsidRPr="00EA036D">
        <w:rPr>
          <w:sz w:val="24"/>
          <w:szCs w:val="24"/>
        </w:rPr>
        <w:t xml:space="preserve">Policy support will focus on the consultations and approval process for the new foreign aid policy, as well as the strengthening of Government-donor dialogue mechanisms (NPPR, LDM), also taking into account new </w:t>
      </w:r>
      <w:r>
        <w:rPr>
          <w:sz w:val="24"/>
          <w:szCs w:val="24"/>
        </w:rPr>
        <w:t xml:space="preserve">international </w:t>
      </w:r>
      <w:r w:rsidRPr="00EA036D">
        <w:rPr>
          <w:sz w:val="24"/>
          <w:szCs w:val="24"/>
        </w:rPr>
        <w:t>commitments from the 4</w:t>
      </w:r>
      <w:r w:rsidRPr="00EA036D">
        <w:rPr>
          <w:sz w:val="24"/>
          <w:szCs w:val="24"/>
          <w:vertAlign w:val="superscript"/>
        </w:rPr>
        <w:t>th</w:t>
      </w:r>
      <w:r w:rsidRPr="00EA036D">
        <w:rPr>
          <w:sz w:val="24"/>
          <w:szCs w:val="24"/>
        </w:rPr>
        <w:t xml:space="preserve"> High L</w:t>
      </w:r>
      <w:r w:rsidR="005F6DEB">
        <w:rPr>
          <w:sz w:val="24"/>
          <w:szCs w:val="24"/>
        </w:rPr>
        <w:t>evel Forum on aid effectiveness.</w:t>
      </w:r>
    </w:p>
    <w:p w:rsidR="00EA036D" w:rsidRPr="00EA036D" w:rsidRDefault="00EA036D" w:rsidP="005F6DEB">
      <w:pPr>
        <w:numPr>
          <w:ilvl w:val="0"/>
          <w:numId w:val="13"/>
        </w:numPr>
        <w:spacing w:after="120"/>
        <w:jc w:val="both"/>
        <w:rPr>
          <w:sz w:val="24"/>
          <w:szCs w:val="24"/>
        </w:rPr>
      </w:pPr>
      <w:r w:rsidRPr="00EA036D">
        <w:rPr>
          <w:sz w:val="24"/>
          <w:szCs w:val="24"/>
        </w:rPr>
        <w:t>Capacity Development efforts will continue in line with the capacity assessment recommendations and include some of the less advanced ministries in terms of aid coordination</w:t>
      </w:r>
      <w:r w:rsidR="00295E0C">
        <w:rPr>
          <w:sz w:val="24"/>
          <w:szCs w:val="24"/>
        </w:rPr>
        <w:t>, as well as key local level officials</w:t>
      </w:r>
      <w:r w:rsidRPr="00EA036D">
        <w:rPr>
          <w:sz w:val="24"/>
          <w:szCs w:val="24"/>
        </w:rPr>
        <w:t>. These efforts will also include drawing on international best practices.</w:t>
      </w:r>
    </w:p>
    <w:p w:rsidR="00093212" w:rsidRPr="00A2449D" w:rsidRDefault="00093212" w:rsidP="005F6DEB">
      <w:pPr>
        <w:spacing w:after="120"/>
        <w:jc w:val="both"/>
        <w:rPr>
          <w:sz w:val="24"/>
          <w:szCs w:val="24"/>
        </w:rPr>
      </w:pPr>
    </w:p>
    <w:sectPr w:rsidR="00093212" w:rsidRPr="00A2449D" w:rsidSect="004929D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62" w:rsidRDefault="000D5F62" w:rsidP="00323239">
      <w:pPr>
        <w:spacing w:after="0" w:line="240" w:lineRule="auto"/>
      </w:pPr>
      <w:r>
        <w:separator/>
      </w:r>
    </w:p>
  </w:endnote>
  <w:endnote w:type="continuationSeparator" w:id="0">
    <w:p w:rsidR="000D5F62" w:rsidRDefault="000D5F62" w:rsidP="0032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235"/>
      <w:docPartObj>
        <w:docPartGallery w:val="Page Numbers (Bottom of Page)"/>
        <w:docPartUnique/>
      </w:docPartObj>
    </w:sdtPr>
    <w:sdtEndPr/>
    <w:sdtContent>
      <w:p w:rsidR="002A2762" w:rsidRDefault="00A040DB">
        <w:pPr>
          <w:pStyle w:val="Footer"/>
          <w:jc w:val="center"/>
        </w:pPr>
        <w:r w:rsidRPr="002C0629">
          <w:rPr>
            <w:color w:val="548DD4" w:themeColor="text2" w:themeTint="99"/>
          </w:rPr>
          <w:fldChar w:fldCharType="begin"/>
        </w:r>
        <w:r w:rsidR="002A2762" w:rsidRPr="002C0629">
          <w:rPr>
            <w:color w:val="548DD4" w:themeColor="text2" w:themeTint="99"/>
          </w:rPr>
          <w:instrText xml:space="preserve"> PAGE   \* MERGEFORMAT </w:instrText>
        </w:r>
        <w:r w:rsidRPr="002C0629">
          <w:rPr>
            <w:color w:val="548DD4" w:themeColor="text2" w:themeTint="99"/>
          </w:rPr>
          <w:fldChar w:fldCharType="separate"/>
        </w:r>
        <w:r w:rsidR="00F22AF6">
          <w:rPr>
            <w:noProof/>
            <w:color w:val="548DD4" w:themeColor="text2" w:themeTint="99"/>
          </w:rPr>
          <w:t>11</w:t>
        </w:r>
        <w:r w:rsidRPr="002C0629">
          <w:rPr>
            <w:color w:val="548DD4" w:themeColor="text2" w:themeTint="99"/>
          </w:rPr>
          <w:fldChar w:fldCharType="end"/>
        </w:r>
      </w:p>
    </w:sdtContent>
  </w:sdt>
  <w:p w:rsidR="002A2762" w:rsidRDefault="002A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62" w:rsidRDefault="000D5F62" w:rsidP="00323239">
      <w:pPr>
        <w:spacing w:after="0" w:line="240" w:lineRule="auto"/>
      </w:pPr>
      <w:r>
        <w:separator/>
      </w:r>
    </w:p>
  </w:footnote>
  <w:footnote w:type="continuationSeparator" w:id="0">
    <w:p w:rsidR="000D5F62" w:rsidRDefault="000D5F62" w:rsidP="0032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62" w:rsidRPr="002C0629" w:rsidRDefault="005F6DEB" w:rsidP="002C0629">
    <w:pPr>
      <w:pStyle w:val="Header"/>
      <w:jc w:val="right"/>
      <w:rPr>
        <w:color w:val="548DD4" w:themeColor="text2" w:themeTint="99"/>
      </w:rPr>
    </w:pPr>
    <w:r>
      <w:rPr>
        <w:color w:val="548DD4" w:themeColor="text2" w:themeTint="99"/>
      </w:rPr>
      <w:t>2011</w:t>
    </w:r>
    <w:r w:rsidR="002A2762" w:rsidRPr="002C0629">
      <w:rPr>
        <w:color w:val="548DD4" w:themeColor="text2" w:themeTint="99"/>
      </w:rPr>
      <w:t xml:space="preserve"> Progress Report – Aid Management and Coordination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B"/>
    <w:multiLevelType w:val="hybridMultilevel"/>
    <w:tmpl w:val="32DEC294"/>
    <w:lvl w:ilvl="0" w:tplc="A17A5C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2FAC"/>
    <w:multiLevelType w:val="hybridMultilevel"/>
    <w:tmpl w:val="3476EE66"/>
    <w:lvl w:ilvl="0" w:tplc="9F0C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0A7B"/>
    <w:multiLevelType w:val="hybridMultilevel"/>
    <w:tmpl w:val="9BD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3618F"/>
    <w:multiLevelType w:val="hybridMultilevel"/>
    <w:tmpl w:val="0FDE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815C0"/>
    <w:multiLevelType w:val="hybridMultilevel"/>
    <w:tmpl w:val="9EBE4C0A"/>
    <w:lvl w:ilvl="0" w:tplc="9F0C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53DD3"/>
    <w:multiLevelType w:val="hybridMultilevel"/>
    <w:tmpl w:val="32F44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D78F1"/>
    <w:multiLevelType w:val="hybridMultilevel"/>
    <w:tmpl w:val="3900443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57957"/>
    <w:multiLevelType w:val="hybridMultilevel"/>
    <w:tmpl w:val="B38450B0"/>
    <w:lvl w:ilvl="0" w:tplc="98D23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E547A"/>
    <w:multiLevelType w:val="hybridMultilevel"/>
    <w:tmpl w:val="3DBA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B2C82"/>
    <w:multiLevelType w:val="hybridMultilevel"/>
    <w:tmpl w:val="EC6C6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500AB"/>
    <w:multiLevelType w:val="hybridMultilevel"/>
    <w:tmpl w:val="E7C2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932E3"/>
    <w:multiLevelType w:val="hybridMultilevel"/>
    <w:tmpl w:val="F93E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5288D"/>
    <w:multiLevelType w:val="hybridMultilevel"/>
    <w:tmpl w:val="096258CA"/>
    <w:lvl w:ilvl="0" w:tplc="8CD697C6">
      <w:start w:val="3"/>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8"/>
  </w:num>
  <w:num w:numId="5">
    <w:abstractNumId w:val="2"/>
  </w:num>
  <w:num w:numId="6">
    <w:abstractNumId w:val="10"/>
  </w:num>
  <w:num w:numId="7">
    <w:abstractNumId w:val="5"/>
  </w:num>
  <w:num w:numId="8">
    <w:abstractNumId w:val="1"/>
  </w:num>
  <w:num w:numId="9">
    <w:abstractNumId w:val="12"/>
  </w:num>
  <w:num w:numId="10">
    <w:abstractNumId w:val="11"/>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945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5A"/>
    <w:rsid w:val="00045971"/>
    <w:rsid w:val="000638A7"/>
    <w:rsid w:val="00065D19"/>
    <w:rsid w:val="00084A2A"/>
    <w:rsid w:val="00093212"/>
    <w:rsid w:val="000D5F62"/>
    <w:rsid w:val="000D7053"/>
    <w:rsid w:val="000E032B"/>
    <w:rsid w:val="000F214B"/>
    <w:rsid w:val="001007C8"/>
    <w:rsid w:val="0010608B"/>
    <w:rsid w:val="00134EF4"/>
    <w:rsid w:val="00184687"/>
    <w:rsid w:val="00187D1F"/>
    <w:rsid w:val="001D5DB8"/>
    <w:rsid w:val="001D5F92"/>
    <w:rsid w:val="002035A5"/>
    <w:rsid w:val="00244BB1"/>
    <w:rsid w:val="00273F86"/>
    <w:rsid w:val="002856A0"/>
    <w:rsid w:val="00295E0C"/>
    <w:rsid w:val="00296B74"/>
    <w:rsid w:val="002A2762"/>
    <w:rsid w:val="002C0629"/>
    <w:rsid w:val="00302A03"/>
    <w:rsid w:val="003053C9"/>
    <w:rsid w:val="00323239"/>
    <w:rsid w:val="003C68ED"/>
    <w:rsid w:val="003E148A"/>
    <w:rsid w:val="003E47A1"/>
    <w:rsid w:val="004052BA"/>
    <w:rsid w:val="00453E48"/>
    <w:rsid w:val="00477473"/>
    <w:rsid w:val="004929D0"/>
    <w:rsid w:val="004F74F9"/>
    <w:rsid w:val="005427A3"/>
    <w:rsid w:val="0055297D"/>
    <w:rsid w:val="00556261"/>
    <w:rsid w:val="00565002"/>
    <w:rsid w:val="00574C9C"/>
    <w:rsid w:val="005769C8"/>
    <w:rsid w:val="005803DC"/>
    <w:rsid w:val="00584E82"/>
    <w:rsid w:val="005A0BBA"/>
    <w:rsid w:val="005A214A"/>
    <w:rsid w:val="005E0B50"/>
    <w:rsid w:val="005E6692"/>
    <w:rsid w:val="005F2F44"/>
    <w:rsid w:val="005F6DEB"/>
    <w:rsid w:val="0060445B"/>
    <w:rsid w:val="00635701"/>
    <w:rsid w:val="00661CFA"/>
    <w:rsid w:val="006710F5"/>
    <w:rsid w:val="00693CFC"/>
    <w:rsid w:val="006974B7"/>
    <w:rsid w:val="006B770A"/>
    <w:rsid w:val="00711828"/>
    <w:rsid w:val="00733ADB"/>
    <w:rsid w:val="00737415"/>
    <w:rsid w:val="00746B58"/>
    <w:rsid w:val="00752AC0"/>
    <w:rsid w:val="00772DAF"/>
    <w:rsid w:val="007769BC"/>
    <w:rsid w:val="00782488"/>
    <w:rsid w:val="007A1741"/>
    <w:rsid w:val="007B28F2"/>
    <w:rsid w:val="007C32C9"/>
    <w:rsid w:val="007D1609"/>
    <w:rsid w:val="007D4328"/>
    <w:rsid w:val="0084042F"/>
    <w:rsid w:val="00864992"/>
    <w:rsid w:val="008939E0"/>
    <w:rsid w:val="008B61B4"/>
    <w:rsid w:val="008E682F"/>
    <w:rsid w:val="00903AB9"/>
    <w:rsid w:val="00904942"/>
    <w:rsid w:val="00917612"/>
    <w:rsid w:val="00956556"/>
    <w:rsid w:val="00957925"/>
    <w:rsid w:val="00961788"/>
    <w:rsid w:val="009B5A10"/>
    <w:rsid w:val="009B5DC7"/>
    <w:rsid w:val="009D32AB"/>
    <w:rsid w:val="00A028C3"/>
    <w:rsid w:val="00A040DB"/>
    <w:rsid w:val="00A1159F"/>
    <w:rsid w:val="00A136EB"/>
    <w:rsid w:val="00A2449D"/>
    <w:rsid w:val="00A415E4"/>
    <w:rsid w:val="00A54B9C"/>
    <w:rsid w:val="00A62D9F"/>
    <w:rsid w:val="00A83BC6"/>
    <w:rsid w:val="00AA1F0B"/>
    <w:rsid w:val="00AB51D0"/>
    <w:rsid w:val="00AD5EFD"/>
    <w:rsid w:val="00AE77B1"/>
    <w:rsid w:val="00B11FD2"/>
    <w:rsid w:val="00B63C9B"/>
    <w:rsid w:val="00B6707D"/>
    <w:rsid w:val="00B735E8"/>
    <w:rsid w:val="00B90831"/>
    <w:rsid w:val="00BA0A0D"/>
    <w:rsid w:val="00BD7D41"/>
    <w:rsid w:val="00BF6A88"/>
    <w:rsid w:val="00C15CBA"/>
    <w:rsid w:val="00C242AE"/>
    <w:rsid w:val="00C31B83"/>
    <w:rsid w:val="00C4052A"/>
    <w:rsid w:val="00C925C7"/>
    <w:rsid w:val="00CA033A"/>
    <w:rsid w:val="00CA50E8"/>
    <w:rsid w:val="00CC135A"/>
    <w:rsid w:val="00D26059"/>
    <w:rsid w:val="00D35298"/>
    <w:rsid w:val="00D522A5"/>
    <w:rsid w:val="00D613B0"/>
    <w:rsid w:val="00E1468F"/>
    <w:rsid w:val="00E46C41"/>
    <w:rsid w:val="00E477AF"/>
    <w:rsid w:val="00E82784"/>
    <w:rsid w:val="00E974EB"/>
    <w:rsid w:val="00EA036D"/>
    <w:rsid w:val="00EA30D1"/>
    <w:rsid w:val="00EB44C3"/>
    <w:rsid w:val="00F13624"/>
    <w:rsid w:val="00F22AF6"/>
    <w:rsid w:val="00F27AE2"/>
    <w:rsid w:val="00F64E24"/>
    <w:rsid w:val="00F84550"/>
    <w:rsid w:val="00F92C3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FA"/>
    <w:pPr>
      <w:ind w:left="720"/>
      <w:contextualSpacing/>
    </w:pPr>
  </w:style>
  <w:style w:type="table" w:styleId="TableGrid">
    <w:name w:val="Table Grid"/>
    <w:basedOn w:val="TableNormal"/>
    <w:uiPriority w:val="99"/>
    <w:rsid w:val="00661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61C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661C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
    <w:name w:val="Medium List 2"/>
    <w:basedOn w:val="TableNormal"/>
    <w:uiPriority w:val="66"/>
    <w:rsid w:val="00661C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61CF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2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39"/>
  </w:style>
  <w:style w:type="paragraph" w:styleId="Footer">
    <w:name w:val="footer"/>
    <w:basedOn w:val="Normal"/>
    <w:link w:val="FooterChar"/>
    <w:uiPriority w:val="99"/>
    <w:unhideWhenUsed/>
    <w:rsid w:val="0032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39"/>
  </w:style>
  <w:style w:type="paragraph" w:styleId="BalloonText">
    <w:name w:val="Balloon Text"/>
    <w:basedOn w:val="Normal"/>
    <w:link w:val="BalloonTextChar"/>
    <w:uiPriority w:val="99"/>
    <w:semiHidden/>
    <w:unhideWhenUsed/>
    <w:rsid w:val="0074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58"/>
    <w:rPr>
      <w:rFonts w:ascii="Tahoma" w:hAnsi="Tahoma" w:cs="Tahoma"/>
      <w:sz w:val="16"/>
      <w:szCs w:val="16"/>
    </w:rPr>
  </w:style>
  <w:style w:type="paragraph" w:styleId="FootnoteText">
    <w:name w:val="footnote text"/>
    <w:basedOn w:val="Normal"/>
    <w:link w:val="FootnoteTextChar"/>
    <w:uiPriority w:val="99"/>
    <w:semiHidden/>
    <w:unhideWhenUsed/>
    <w:rsid w:val="00565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02"/>
    <w:rPr>
      <w:sz w:val="20"/>
      <w:szCs w:val="20"/>
    </w:rPr>
  </w:style>
  <w:style w:type="character" w:styleId="FootnoteReference">
    <w:name w:val="footnote reference"/>
    <w:basedOn w:val="DefaultParagraphFont"/>
    <w:uiPriority w:val="99"/>
    <w:semiHidden/>
    <w:unhideWhenUsed/>
    <w:rsid w:val="00565002"/>
    <w:rPr>
      <w:vertAlign w:val="superscript"/>
    </w:rPr>
  </w:style>
  <w:style w:type="character" w:styleId="Hyperlink">
    <w:name w:val="Hyperlink"/>
    <w:basedOn w:val="DefaultParagraphFont"/>
    <w:uiPriority w:val="99"/>
    <w:unhideWhenUsed/>
    <w:rsid w:val="005F2F44"/>
    <w:rPr>
      <w:color w:val="0000FF" w:themeColor="hyperlink"/>
      <w:u w:val="single"/>
    </w:rPr>
  </w:style>
  <w:style w:type="table" w:styleId="LightShading">
    <w:name w:val="Light Shading"/>
    <w:basedOn w:val="TableNormal"/>
    <w:uiPriority w:val="60"/>
    <w:rsid w:val="00C31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31B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C925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93C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93C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FA"/>
    <w:pPr>
      <w:ind w:left="720"/>
      <w:contextualSpacing/>
    </w:pPr>
  </w:style>
  <w:style w:type="table" w:styleId="TableGrid">
    <w:name w:val="Table Grid"/>
    <w:basedOn w:val="TableNormal"/>
    <w:uiPriority w:val="99"/>
    <w:rsid w:val="00661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
    <w:name w:val="Medium Shading 2"/>
    <w:basedOn w:val="TableNormal"/>
    <w:uiPriority w:val="64"/>
    <w:rsid w:val="00661CF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661CF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
    <w:name w:val="Medium List 2"/>
    <w:basedOn w:val="TableNormal"/>
    <w:uiPriority w:val="66"/>
    <w:rsid w:val="00661CF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661CF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32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39"/>
  </w:style>
  <w:style w:type="paragraph" w:styleId="Footer">
    <w:name w:val="footer"/>
    <w:basedOn w:val="Normal"/>
    <w:link w:val="FooterChar"/>
    <w:uiPriority w:val="99"/>
    <w:unhideWhenUsed/>
    <w:rsid w:val="0032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39"/>
  </w:style>
  <w:style w:type="paragraph" w:styleId="BalloonText">
    <w:name w:val="Balloon Text"/>
    <w:basedOn w:val="Normal"/>
    <w:link w:val="BalloonTextChar"/>
    <w:uiPriority w:val="99"/>
    <w:semiHidden/>
    <w:unhideWhenUsed/>
    <w:rsid w:val="0074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58"/>
    <w:rPr>
      <w:rFonts w:ascii="Tahoma" w:hAnsi="Tahoma" w:cs="Tahoma"/>
      <w:sz w:val="16"/>
      <w:szCs w:val="16"/>
    </w:rPr>
  </w:style>
  <w:style w:type="paragraph" w:styleId="FootnoteText">
    <w:name w:val="footnote text"/>
    <w:basedOn w:val="Normal"/>
    <w:link w:val="FootnoteTextChar"/>
    <w:uiPriority w:val="99"/>
    <w:semiHidden/>
    <w:unhideWhenUsed/>
    <w:rsid w:val="00565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02"/>
    <w:rPr>
      <w:sz w:val="20"/>
      <w:szCs w:val="20"/>
    </w:rPr>
  </w:style>
  <w:style w:type="character" w:styleId="FootnoteReference">
    <w:name w:val="footnote reference"/>
    <w:basedOn w:val="DefaultParagraphFont"/>
    <w:uiPriority w:val="99"/>
    <w:semiHidden/>
    <w:unhideWhenUsed/>
    <w:rsid w:val="00565002"/>
    <w:rPr>
      <w:vertAlign w:val="superscript"/>
    </w:rPr>
  </w:style>
  <w:style w:type="character" w:styleId="Hyperlink">
    <w:name w:val="Hyperlink"/>
    <w:basedOn w:val="DefaultParagraphFont"/>
    <w:uiPriority w:val="99"/>
    <w:unhideWhenUsed/>
    <w:rsid w:val="005F2F44"/>
    <w:rPr>
      <w:color w:val="0000FF" w:themeColor="hyperlink"/>
      <w:u w:val="single"/>
    </w:rPr>
  </w:style>
  <w:style w:type="table" w:styleId="LightShading">
    <w:name w:val="Light Shading"/>
    <w:basedOn w:val="TableNormal"/>
    <w:uiPriority w:val="60"/>
    <w:rsid w:val="00C31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31B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C925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93C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93C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CD780.814C51B0"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ATLASPDC-3-8487</_dlc_DocId>
    <_dlc_DocIdUrl xmlns="f1161f5b-24a3-4c2d-bc81-44cb9325e8ee">
      <Url>https://info.undp.org/docs/pdc/_layouts/DocIdRedir.aspx?ID=ATLASPDC-3-8487</Url>
      <Description>ATLASPDC-3-8487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00056856</Project_x0020_Number>
    <Project_x0020_Manager xmlns="f1161f5b-24a3-4c2d-bc81-44cb9325e8ee" xsi:nil="true"/>
    <TaxCatchAll xmlns="1ed4137b-41b2-488b-8250-6d369ec27664">
      <Value>1112</Value>
      <Value>1565</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NPL</TermName>
          <TermId xmlns="http://schemas.microsoft.com/office/infopath/2007/PartnerControls">de4a7eea-47ae-4e78-b946-f2f40b54b112</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00056856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01A56D82-BF51-4569-9EC4-8CC60C597AC7}"/>
</file>

<file path=customXml/itemProps2.xml><?xml version="1.0" encoding="utf-8"?>
<ds:datastoreItem xmlns:ds="http://schemas.openxmlformats.org/officeDocument/2006/customXml" ds:itemID="{D2CA6799-F8D8-4F0B-8EEB-6425EDBFCBB2}"/>
</file>

<file path=customXml/itemProps3.xml><?xml version="1.0" encoding="utf-8"?>
<ds:datastoreItem xmlns:ds="http://schemas.openxmlformats.org/officeDocument/2006/customXml" ds:itemID="{B356C496-D580-4661-BD34-7F6ADB7B5C9A}"/>
</file>

<file path=customXml/itemProps4.xml><?xml version="1.0" encoding="utf-8"?>
<ds:datastoreItem xmlns:ds="http://schemas.openxmlformats.org/officeDocument/2006/customXml" ds:itemID="{251F9E6C-CE51-4263-8A8C-12C3730614A5}"/>
</file>

<file path=customXml/itemProps5.xml><?xml version="1.0" encoding="utf-8"?>
<ds:datastoreItem xmlns:ds="http://schemas.openxmlformats.org/officeDocument/2006/customXml" ds:itemID="{97BC63A1-A09D-42DB-A8CD-F61C02197D52}"/>
</file>

<file path=customXml/itemProps6.xml><?xml version="1.0" encoding="utf-8"?>
<ds:datastoreItem xmlns:ds="http://schemas.openxmlformats.org/officeDocument/2006/customXml" ds:itemID="{937C1365-3600-4F89-9329-646492689051}"/>
</file>

<file path=docProps/app.xml><?xml version="1.0" encoding="utf-8"?>
<Properties xmlns="http://schemas.openxmlformats.org/officeDocument/2006/extended-properties" xmlns:vt="http://schemas.openxmlformats.org/officeDocument/2006/docPropsVTypes">
  <Template>Normal.dotm</Template>
  <TotalTime>0</TotalTime>
  <Pages>11</Pages>
  <Words>3062</Words>
  <Characters>17459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Shrestha</dc:creator>
  <cp:lastModifiedBy>Niraj Shrestha</cp:lastModifiedBy>
  <cp:revision>2</cp:revision>
  <dcterms:created xsi:type="dcterms:W3CDTF">2012-01-24T03:56:00Z</dcterms:created>
  <dcterms:modified xsi:type="dcterms:W3CDTF">2012-01-24T03:56:00Z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3d092997-6da2-4c4c-ab0d-5b5966127748</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1565;#NPL|de4a7eea-47ae-4e78-b946-f2f40b54b112</vt:lpwstr>
  </property>
  <property fmtid="{D5CDD505-2E9C-101B-9397-08002B2CF9AE}" pid="9" name="Atlas_x0020_Document_x0020_Type">
    <vt:lpwstr>236;#Progress Report|cafb2bdd-31de-4683-a84c-29af809cca57</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1112;#Progress Report|03c70d0e-c75e-4cfb-8288-e692640ede14</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